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D1F" w:rsidRDefault="004B7D1F">
      <w:pPr>
        <w:rPr>
          <w:rFonts w:ascii="Times New Roman" w:hAnsi="Times New Roman" w:cs="Times New Roman"/>
          <w:b/>
          <w:sz w:val="28"/>
          <w:szCs w:val="28"/>
        </w:rPr>
      </w:pPr>
      <w:bookmarkStart w:id="0" w:name="_GoBack"/>
      <w:bookmarkEnd w:id="0"/>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Pr="000F55C2" w:rsidRDefault="004B7D1F" w:rsidP="000F55C2">
      <w:pPr>
        <w:jc w:val="center"/>
        <w:rPr>
          <w:rFonts w:ascii="Times New Roman" w:hAnsi="Times New Roman" w:cs="Times New Roman"/>
          <w:b/>
          <w:sz w:val="36"/>
          <w:szCs w:val="36"/>
        </w:rPr>
      </w:pPr>
      <w:r w:rsidRPr="000F55C2">
        <w:rPr>
          <w:rFonts w:ascii="Times New Roman" w:hAnsi="Times New Roman" w:cs="Times New Roman"/>
          <w:b/>
          <w:sz w:val="36"/>
          <w:szCs w:val="36"/>
        </w:rPr>
        <w:t>PRILOZI LRSR LAGUR-a „Alba“</w:t>
      </w: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4B7D1F" w:rsidRDefault="004B7D1F">
      <w:pPr>
        <w:rPr>
          <w:rFonts w:ascii="Times New Roman" w:hAnsi="Times New Roman" w:cs="Times New Roman"/>
          <w:b/>
          <w:sz w:val="28"/>
          <w:szCs w:val="28"/>
        </w:rPr>
      </w:pPr>
    </w:p>
    <w:p w:rsidR="006F24B6" w:rsidRPr="00B25071" w:rsidRDefault="002B026B">
      <w:pPr>
        <w:rPr>
          <w:rFonts w:ascii="Times New Roman" w:hAnsi="Times New Roman" w:cs="Times New Roman"/>
          <w:b/>
          <w:sz w:val="28"/>
          <w:szCs w:val="28"/>
        </w:rPr>
      </w:pPr>
      <w:r w:rsidRPr="00B25071">
        <w:rPr>
          <w:rFonts w:ascii="Times New Roman" w:hAnsi="Times New Roman" w:cs="Times New Roman"/>
          <w:b/>
          <w:sz w:val="28"/>
          <w:szCs w:val="28"/>
        </w:rPr>
        <w:lastRenderedPageBreak/>
        <w:t>Prilog 1 – Naselja na području LAGUR-a „Alba“</w:t>
      </w:r>
    </w:p>
    <w:p w:rsidR="002B026B" w:rsidRDefault="002B026B"/>
    <w:p w:rsidR="002B026B" w:rsidRPr="00B25071" w:rsidRDefault="002B026B" w:rsidP="002B026B">
      <w:pPr>
        <w:rPr>
          <w:rFonts w:ascii="Times New Roman" w:hAnsi="Times New Roman" w:cs="Times New Roman"/>
          <w:sz w:val="24"/>
          <w:szCs w:val="24"/>
        </w:rPr>
      </w:pPr>
      <w:r w:rsidRPr="00B25071">
        <w:rPr>
          <w:rFonts w:ascii="Times New Roman" w:hAnsi="Times New Roman" w:cs="Times New Roman"/>
          <w:sz w:val="24"/>
          <w:szCs w:val="24"/>
        </w:rPr>
        <w:t xml:space="preserve">Područje LAGUR-a Alba čini ukupno 5 jedinica lokalne samouprave i 94 naselja. </w:t>
      </w:r>
    </w:p>
    <w:p w:rsidR="002B026B" w:rsidRPr="00B25071" w:rsidRDefault="002B026B" w:rsidP="00B25071">
      <w:pPr>
        <w:jc w:val="center"/>
        <w:rPr>
          <w:rFonts w:ascii="Times New Roman" w:hAnsi="Times New Roman" w:cs="Times New Roman"/>
          <w:sz w:val="24"/>
          <w:szCs w:val="24"/>
        </w:rPr>
      </w:pPr>
      <w:r w:rsidRPr="00B25071">
        <w:rPr>
          <w:rFonts w:ascii="Times New Roman" w:hAnsi="Times New Roman" w:cs="Times New Roman"/>
          <w:sz w:val="24"/>
          <w:szCs w:val="24"/>
        </w:rPr>
        <w:t>Slika 1 – područje LAGUR-a u Istarskoj županiji</w:t>
      </w:r>
    </w:p>
    <w:p w:rsidR="002B026B" w:rsidRDefault="00B25071" w:rsidP="00B25071">
      <w:pPr>
        <w:jc w:val="center"/>
      </w:pPr>
      <w:r>
        <w:rPr>
          <w:noProof/>
          <w:lang w:eastAsia="hr-HR"/>
        </w:rPr>
        <w:drawing>
          <wp:inline distT="0" distB="0" distL="0" distR="0">
            <wp:extent cx="4248150" cy="3962400"/>
            <wp:effectExtent l="0" t="0" r="0" b="0"/>
            <wp:docPr id="3" name="Slika 3" descr="C:\Users\Korisnik\AppData\Local\Microsoft\Windows\Temporary Internet Files\Content.Word\LAGUR - područ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Temporary Internet Files\Content.Word\LAGUR - područj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3962400"/>
                    </a:xfrm>
                    <a:prstGeom prst="rect">
                      <a:avLst/>
                    </a:prstGeom>
                    <a:noFill/>
                    <a:ln>
                      <a:noFill/>
                    </a:ln>
                  </pic:spPr>
                </pic:pic>
              </a:graphicData>
            </a:graphic>
          </wp:inline>
        </w:drawing>
      </w:r>
    </w:p>
    <w:p w:rsidR="00B25071" w:rsidRPr="00B25071" w:rsidRDefault="00B25071" w:rsidP="00B25071">
      <w:pPr>
        <w:jc w:val="center"/>
        <w:rPr>
          <w:rFonts w:ascii="Times New Roman" w:hAnsi="Times New Roman" w:cs="Times New Roman"/>
          <w:i/>
          <w:sz w:val="24"/>
          <w:szCs w:val="24"/>
        </w:rPr>
      </w:pPr>
      <w:r w:rsidRPr="00B25071">
        <w:rPr>
          <w:rFonts w:ascii="Times New Roman" w:hAnsi="Times New Roman" w:cs="Times New Roman"/>
          <w:i/>
          <w:sz w:val="24"/>
          <w:szCs w:val="24"/>
        </w:rPr>
        <w:t xml:space="preserve">Izvor: </w:t>
      </w:r>
      <w:hyperlink r:id="rId9" w:history="1">
        <w:r w:rsidRPr="00B25071">
          <w:rPr>
            <w:rStyle w:val="Hiperveza"/>
            <w:rFonts w:ascii="Times New Roman" w:hAnsi="Times New Roman" w:cs="Times New Roman"/>
            <w:i/>
            <w:sz w:val="24"/>
            <w:szCs w:val="24"/>
          </w:rPr>
          <w:t>www.labin.com</w:t>
        </w:r>
      </w:hyperlink>
      <w:r w:rsidRPr="00B25071">
        <w:rPr>
          <w:rFonts w:ascii="Times New Roman" w:hAnsi="Times New Roman" w:cs="Times New Roman"/>
          <w:i/>
          <w:sz w:val="24"/>
          <w:szCs w:val="24"/>
        </w:rPr>
        <w:t>, preuzeto 27. rujna 2016.g.</w:t>
      </w:r>
    </w:p>
    <w:p w:rsidR="00B25071" w:rsidRPr="00B25071" w:rsidRDefault="00B25071" w:rsidP="00B25071">
      <w:pPr>
        <w:jc w:val="both"/>
        <w:rPr>
          <w:rFonts w:ascii="Times New Roman" w:hAnsi="Times New Roman" w:cs="Times New Roman"/>
          <w:sz w:val="24"/>
          <w:szCs w:val="24"/>
        </w:rPr>
      </w:pPr>
      <w:r w:rsidRPr="00B25071">
        <w:rPr>
          <w:rFonts w:ascii="Times New Roman" w:hAnsi="Times New Roman" w:cs="Times New Roman"/>
          <w:sz w:val="24"/>
          <w:szCs w:val="24"/>
        </w:rPr>
        <w:t xml:space="preserve">U sljedećoj tablici nalazi se popis naselja unutar LAGUR-a prema pripadajućim jedinicama lokalne samouprave. </w:t>
      </w:r>
    </w:p>
    <w:tbl>
      <w:tblPr>
        <w:tblStyle w:val="Reetkatablice"/>
        <w:tblW w:w="5000" w:type="pct"/>
        <w:tblLook w:val="04A0" w:firstRow="1" w:lastRow="0" w:firstColumn="1" w:lastColumn="0" w:noHBand="0" w:noVBand="1"/>
      </w:tblPr>
      <w:tblGrid>
        <w:gridCol w:w="3636"/>
        <w:gridCol w:w="2765"/>
        <w:gridCol w:w="2761"/>
      </w:tblGrid>
      <w:tr w:rsidR="00B25071" w:rsidRPr="00B25071" w:rsidTr="00720E16">
        <w:trPr>
          <w:trHeight w:val="154"/>
        </w:trPr>
        <w:tc>
          <w:tcPr>
            <w:tcW w:w="1984" w:type="pct"/>
            <w:shd w:val="clear" w:color="auto" w:fill="BFBFBF"/>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JLS</w:t>
            </w:r>
          </w:p>
        </w:tc>
        <w:tc>
          <w:tcPr>
            <w:tcW w:w="1509" w:type="pct"/>
            <w:shd w:val="clear" w:color="auto" w:fill="BFBFBF"/>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NASELJA UNUTAR JLS</w:t>
            </w:r>
          </w:p>
        </w:tc>
        <w:tc>
          <w:tcPr>
            <w:tcW w:w="1507" w:type="pct"/>
            <w:shd w:val="clear" w:color="auto" w:fill="BFBFBF"/>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BROJ STANOVNIKA (ZA SVAKO NASELJE) – popis 2011.</w:t>
            </w:r>
          </w:p>
        </w:tc>
      </w:tr>
      <w:tr w:rsidR="00B25071" w:rsidRPr="00B25071" w:rsidTr="00720E16">
        <w:trPr>
          <w:trHeight w:val="152"/>
        </w:trPr>
        <w:tc>
          <w:tcPr>
            <w:tcW w:w="1984" w:type="pct"/>
            <w:shd w:val="clear" w:color="auto" w:fill="FFE599"/>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 xml:space="preserve">GRAD LABIN </w:t>
            </w:r>
          </w:p>
        </w:tc>
        <w:tc>
          <w:tcPr>
            <w:tcW w:w="1509" w:type="pct"/>
            <w:shd w:val="clear" w:color="auto" w:fill="auto"/>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Bartići</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72</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Breg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39</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Duga Luka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27</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Gondolići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74</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Gora Glušići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30</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Kapelica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617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Kranjci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95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Labin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6.893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Marceljani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192</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Presika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578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Rabac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1.393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Ripenda Kosi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12</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Ripenda Kras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124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Ripenda Verbanci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86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Rogočana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143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Salakovci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Vinež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1.219</w:t>
            </w:r>
          </w:p>
        </w:tc>
      </w:tr>
      <w:tr w:rsidR="00B25071" w:rsidRPr="00B25071" w:rsidTr="00720E16">
        <w:trPr>
          <w:trHeight w:val="152"/>
        </w:trPr>
        <w:tc>
          <w:tcPr>
            <w:tcW w:w="1984" w:type="pct"/>
            <w:tcBorders>
              <w:bottom w:val="single" w:sz="8" w:space="0" w:color="auto"/>
            </w:tcBorders>
            <w:shd w:val="clear" w:color="auto" w:fill="FFE599"/>
            <w:vAlign w:val="center"/>
          </w:tcPr>
          <w:p w:rsidR="00B25071" w:rsidRPr="00B25071" w:rsidRDefault="00B25071" w:rsidP="00B25071">
            <w:pPr>
              <w:autoSpaceDE w:val="0"/>
              <w:autoSpaceDN w:val="0"/>
              <w:adjustRightInd w:val="0"/>
              <w:jc w:val="both"/>
              <w:rPr>
                <w:rFonts w:ascii="Times New Roman" w:hAnsi="Times New Roman"/>
              </w:rPr>
            </w:pPr>
            <w:r w:rsidRPr="00B25071">
              <w:rPr>
                <w:rFonts w:ascii="Times New Roman" w:hAnsi="Times New Roman"/>
                <w:b/>
              </w:rPr>
              <w:t>OPĆINA KRŠAN</w:t>
            </w: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Blaškovići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149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Boljevići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86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Čambarelići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Jasenovik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Kostrčani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Kožljak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160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Kršan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238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Lanišće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Lazarići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96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Letaj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Nova Vas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Plomin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113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Plomin Luka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173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Polje Čepić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148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Potpićan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513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Purgarija Čepić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228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Stepčići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Šušnjevica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Veljaki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120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Vozilići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236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Zagorje</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116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Zankovci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Zatka Čepić</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31</w:t>
            </w:r>
          </w:p>
        </w:tc>
      </w:tr>
      <w:tr w:rsidR="00B25071" w:rsidRPr="00B25071" w:rsidTr="00720E16">
        <w:trPr>
          <w:trHeight w:val="152"/>
        </w:trPr>
        <w:tc>
          <w:tcPr>
            <w:tcW w:w="1984" w:type="pct"/>
            <w:tcBorders>
              <w:bottom w:val="single" w:sz="8" w:space="0" w:color="auto"/>
            </w:tcBorders>
            <w:shd w:val="clear" w:color="auto" w:fill="FFE599"/>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 xml:space="preserve">OPĆINA PIĆAN </w:t>
            </w: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Grobnik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Jakomići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183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Krbune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Kukurini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192</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Montovani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Orič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131</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Pićan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281</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Sveta Katarina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342</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Tupljak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236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Zajci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242</w:t>
            </w:r>
          </w:p>
        </w:tc>
      </w:tr>
      <w:tr w:rsidR="00B25071" w:rsidRPr="00B25071" w:rsidTr="00720E16">
        <w:trPr>
          <w:trHeight w:val="152"/>
        </w:trPr>
        <w:tc>
          <w:tcPr>
            <w:tcW w:w="1984" w:type="pct"/>
            <w:tcBorders>
              <w:bottom w:val="single" w:sz="8" w:space="0" w:color="auto"/>
            </w:tcBorders>
            <w:shd w:val="clear" w:color="auto" w:fill="FFE599"/>
            <w:vAlign w:val="center"/>
          </w:tcPr>
          <w:p w:rsidR="00B25071" w:rsidRPr="00B25071" w:rsidRDefault="00B25071" w:rsidP="00B25071">
            <w:pPr>
              <w:autoSpaceDE w:val="0"/>
              <w:autoSpaceDN w:val="0"/>
              <w:adjustRightInd w:val="0"/>
              <w:jc w:val="both"/>
              <w:rPr>
                <w:rFonts w:ascii="Times New Roman" w:hAnsi="Times New Roman"/>
                <w:b/>
              </w:rPr>
            </w:pPr>
            <w:r w:rsidRPr="00B25071">
              <w:rPr>
                <w:rFonts w:ascii="Times New Roman" w:hAnsi="Times New Roman"/>
                <w:b/>
              </w:rPr>
              <w:t xml:space="preserve">OPĆINA RAŠA </w:t>
            </w: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Barbići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Brgod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Brovinje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81</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Crni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Drenje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Koromačno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180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Krapan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151</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Kunj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Letajac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Most – Raša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Polje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Raša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1.440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Ravni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Skitača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Skvaranska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Stanišovi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38 </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Sveta Marina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Sveti Bartul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227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Sveti Lovreč Labinski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Topid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136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Trget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Trgetari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Viškovići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170</w:t>
            </w:r>
          </w:p>
        </w:tc>
      </w:tr>
      <w:tr w:rsidR="00B25071" w:rsidRPr="00B25071" w:rsidTr="00720E16">
        <w:trPr>
          <w:trHeight w:val="152"/>
        </w:trPr>
        <w:tc>
          <w:tcPr>
            <w:tcW w:w="1984" w:type="pct"/>
            <w:tcBorders>
              <w:bottom w:val="single" w:sz="8" w:space="0" w:color="auto"/>
            </w:tcBorders>
            <w:shd w:val="clear" w:color="auto" w:fill="FFE599"/>
            <w:vAlign w:val="center"/>
          </w:tcPr>
          <w:p w:rsidR="00B25071" w:rsidRPr="00B25071" w:rsidRDefault="00B25071" w:rsidP="00B25071">
            <w:pPr>
              <w:autoSpaceDE w:val="0"/>
              <w:autoSpaceDN w:val="0"/>
              <w:adjustRightInd w:val="0"/>
              <w:rPr>
                <w:rFonts w:ascii="Times New Roman" w:hAnsi="Times New Roman"/>
                <w:b/>
              </w:rPr>
            </w:pPr>
            <w:r w:rsidRPr="00B25071">
              <w:rPr>
                <w:rFonts w:ascii="Times New Roman" w:hAnsi="Times New Roman"/>
                <w:b/>
              </w:rPr>
              <w:t xml:space="preserve">OPĆINA SVETA NEDELJA </w:t>
            </w: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Cere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26</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Eržišće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Frančići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Jurazini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90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Kraj Drage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Mali Golji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110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Mali Turini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Marići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Markoci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77</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Nedešćina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604</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Paradiž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58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Ružići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99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Santalezi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170</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Snašići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Sveti Martin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188</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Štrmac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439</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Šumber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381</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Veli Golji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72</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Veli Turini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45</w:t>
            </w:r>
          </w:p>
        </w:tc>
      </w:tr>
      <w:tr w:rsidR="00B25071" w:rsidRPr="00B25071" w:rsidTr="00720E16">
        <w:trPr>
          <w:trHeight w:val="152"/>
        </w:trPr>
        <w:tc>
          <w:tcPr>
            <w:tcW w:w="1984"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Vrećari </w:t>
            </w:r>
          </w:p>
        </w:tc>
        <w:tc>
          <w:tcPr>
            <w:tcW w:w="1507" w:type="pct"/>
            <w:tcBorders>
              <w:bottom w:val="single" w:sz="8" w:space="0" w:color="auto"/>
            </w:tcBorders>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168</w:t>
            </w:r>
          </w:p>
        </w:tc>
      </w:tr>
      <w:tr w:rsidR="00B25071" w:rsidRPr="00B25071" w:rsidTr="00720E16">
        <w:trPr>
          <w:trHeight w:val="152"/>
        </w:trPr>
        <w:tc>
          <w:tcPr>
            <w:tcW w:w="1984" w:type="pct"/>
            <w:vAlign w:val="center"/>
          </w:tcPr>
          <w:p w:rsidR="00B25071" w:rsidRPr="00B25071" w:rsidRDefault="00B25071" w:rsidP="00B25071">
            <w:pPr>
              <w:autoSpaceDE w:val="0"/>
              <w:autoSpaceDN w:val="0"/>
              <w:adjustRightInd w:val="0"/>
              <w:jc w:val="both"/>
              <w:rPr>
                <w:rFonts w:ascii="Times New Roman" w:hAnsi="Times New Roman"/>
              </w:rPr>
            </w:pPr>
          </w:p>
        </w:tc>
        <w:tc>
          <w:tcPr>
            <w:tcW w:w="1509"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 xml:space="preserve">Županići </w:t>
            </w:r>
          </w:p>
        </w:tc>
        <w:tc>
          <w:tcPr>
            <w:tcW w:w="1507" w:type="pct"/>
            <w:vAlign w:val="center"/>
          </w:tcPr>
          <w:p w:rsidR="00B25071" w:rsidRPr="00B25071" w:rsidRDefault="00B25071" w:rsidP="00B25071">
            <w:pPr>
              <w:autoSpaceDE w:val="0"/>
              <w:autoSpaceDN w:val="0"/>
              <w:adjustRightInd w:val="0"/>
              <w:jc w:val="both"/>
              <w:rPr>
                <w:rFonts w:ascii="Times New Roman" w:hAnsi="Times New Roman"/>
                <w:i/>
              </w:rPr>
            </w:pPr>
            <w:r w:rsidRPr="00B25071">
              <w:rPr>
                <w:rFonts w:ascii="Times New Roman" w:hAnsi="Times New Roman"/>
                <w:i/>
              </w:rPr>
              <w:t>138</w:t>
            </w:r>
          </w:p>
        </w:tc>
      </w:tr>
      <w:tr w:rsidR="00B25071" w:rsidRPr="00B25071" w:rsidTr="00720E16">
        <w:trPr>
          <w:trHeight w:val="152"/>
        </w:trPr>
        <w:tc>
          <w:tcPr>
            <w:tcW w:w="3493" w:type="pct"/>
            <w:gridSpan w:val="2"/>
            <w:tcBorders>
              <w:bottom w:val="single" w:sz="8" w:space="0" w:color="auto"/>
            </w:tcBorders>
            <w:shd w:val="clear" w:color="auto" w:fill="FFE599"/>
            <w:vAlign w:val="center"/>
          </w:tcPr>
          <w:p w:rsidR="00B25071" w:rsidRPr="00B25071" w:rsidRDefault="00B25071" w:rsidP="00B25071">
            <w:pPr>
              <w:autoSpaceDE w:val="0"/>
              <w:autoSpaceDN w:val="0"/>
              <w:adjustRightInd w:val="0"/>
              <w:jc w:val="both"/>
              <w:rPr>
                <w:rFonts w:ascii="Times New Roman" w:hAnsi="Times New Roman"/>
                <w:b/>
                <w:i/>
              </w:rPr>
            </w:pPr>
            <w:r w:rsidRPr="00B25071">
              <w:rPr>
                <w:rFonts w:ascii="Times New Roman" w:hAnsi="Times New Roman"/>
                <w:b/>
                <w:i/>
              </w:rPr>
              <w:t>UKUPNO LAG</w:t>
            </w:r>
            <w:r>
              <w:rPr>
                <w:rFonts w:ascii="Times New Roman" w:hAnsi="Times New Roman"/>
                <w:b/>
                <w:i/>
              </w:rPr>
              <w:t xml:space="preserve">UR </w:t>
            </w:r>
          </w:p>
        </w:tc>
        <w:tc>
          <w:tcPr>
            <w:tcW w:w="1507" w:type="pct"/>
            <w:tcBorders>
              <w:bottom w:val="single" w:sz="8" w:space="0" w:color="auto"/>
            </w:tcBorders>
            <w:shd w:val="clear" w:color="auto" w:fill="FFE599"/>
            <w:vAlign w:val="center"/>
          </w:tcPr>
          <w:p w:rsidR="00B25071" w:rsidRPr="00B25071" w:rsidRDefault="00B25071" w:rsidP="00B25071">
            <w:pPr>
              <w:autoSpaceDE w:val="0"/>
              <w:autoSpaceDN w:val="0"/>
              <w:adjustRightInd w:val="0"/>
              <w:jc w:val="both"/>
              <w:rPr>
                <w:rFonts w:ascii="Times New Roman" w:hAnsi="Times New Roman"/>
                <w:b/>
                <w:i/>
              </w:rPr>
            </w:pPr>
            <w:r w:rsidRPr="00B25071">
              <w:rPr>
                <w:rFonts w:ascii="Times New Roman" w:hAnsi="Times New Roman"/>
                <w:b/>
                <w:i/>
              </w:rPr>
              <w:t xml:space="preserve">22.590 </w:t>
            </w:r>
          </w:p>
        </w:tc>
      </w:tr>
    </w:tbl>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pPr>
    </w:p>
    <w:p w:rsidR="00B25071" w:rsidRDefault="00B25071" w:rsidP="00B25071">
      <w:pPr>
        <w:jc w:val="both"/>
        <w:rPr>
          <w:rFonts w:ascii="Times New Roman" w:hAnsi="Times New Roman" w:cs="Times New Roman"/>
          <w:b/>
          <w:sz w:val="28"/>
          <w:szCs w:val="28"/>
          <w:lang w:val="en-US"/>
        </w:rPr>
      </w:pPr>
      <w:r w:rsidRPr="00B25071">
        <w:rPr>
          <w:rFonts w:ascii="Times New Roman" w:hAnsi="Times New Roman" w:cs="Times New Roman"/>
          <w:b/>
          <w:sz w:val="28"/>
          <w:szCs w:val="28"/>
        </w:rPr>
        <w:lastRenderedPageBreak/>
        <w:t xml:space="preserve">Prilog 2 - </w:t>
      </w:r>
      <w:r w:rsidRPr="00B25071">
        <w:rPr>
          <w:rFonts w:ascii="Times New Roman" w:hAnsi="Times New Roman" w:cs="Times New Roman"/>
          <w:b/>
          <w:sz w:val="28"/>
          <w:szCs w:val="28"/>
          <w:lang w:val="en-US"/>
        </w:rPr>
        <w:t>NATURA 2000 (Ekološka mreža RH) na teritoriju LAG</w:t>
      </w:r>
      <w:r w:rsidR="00FA5A0D">
        <w:rPr>
          <w:rFonts w:ascii="Times New Roman" w:hAnsi="Times New Roman" w:cs="Times New Roman"/>
          <w:b/>
          <w:sz w:val="28"/>
          <w:szCs w:val="28"/>
          <w:lang w:val="en-US"/>
        </w:rPr>
        <w:t>UR-a “Alba</w:t>
      </w:r>
      <w:r w:rsidRPr="00B25071">
        <w:rPr>
          <w:rFonts w:ascii="Times New Roman" w:hAnsi="Times New Roman" w:cs="Times New Roman"/>
          <w:b/>
          <w:sz w:val="28"/>
          <w:szCs w:val="28"/>
          <w:lang w:val="en-US"/>
        </w:rPr>
        <w:t>”</w:t>
      </w:r>
    </w:p>
    <w:p w:rsidR="00FA5A0D" w:rsidRDefault="00FA5A0D" w:rsidP="00B25071">
      <w:pPr>
        <w:jc w:val="both"/>
        <w:rPr>
          <w:rFonts w:ascii="Times New Roman" w:hAnsi="Times New Roman" w:cs="Times New Roman"/>
          <w:b/>
          <w:sz w:val="28"/>
          <w:szCs w:val="28"/>
          <w:lang w:val="en-US"/>
        </w:rPr>
      </w:pPr>
      <w:r w:rsidRPr="003D7FA9">
        <w:rPr>
          <w:rFonts w:ascii="Times New Roman" w:eastAsia="Times New Roman" w:hAnsi="Times New Roman" w:cs="Times New Roman"/>
          <w:b/>
          <w:noProof/>
          <w:color w:val="000000"/>
          <w:sz w:val="32"/>
          <w:szCs w:val="32"/>
          <w:lang w:eastAsia="hr-HR"/>
        </w:rPr>
        <w:drawing>
          <wp:inline distT="0" distB="0" distL="0" distR="0" wp14:anchorId="4F0F2013" wp14:editId="124E64A7">
            <wp:extent cx="5810250" cy="353949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0418" cy="3545684"/>
                    </a:xfrm>
                    <a:prstGeom prst="rect">
                      <a:avLst/>
                    </a:prstGeom>
                    <a:noFill/>
                  </pic:spPr>
                </pic:pic>
              </a:graphicData>
            </a:graphic>
          </wp:inline>
        </w:drawing>
      </w:r>
    </w:p>
    <w:tbl>
      <w:tblPr>
        <w:tblStyle w:val="Reetkatablice6"/>
        <w:tblW w:w="9072" w:type="dxa"/>
        <w:tblInd w:w="108" w:type="dxa"/>
        <w:tblLook w:val="04A0" w:firstRow="1" w:lastRow="0" w:firstColumn="1" w:lastColumn="0" w:noHBand="0" w:noVBand="1"/>
      </w:tblPr>
      <w:tblGrid>
        <w:gridCol w:w="3828"/>
        <w:gridCol w:w="5244"/>
      </w:tblGrid>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Površina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-a (ha)</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57.392,89</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Površina SCI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(ha)</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4.804,78</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Udio SCI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8,37%</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Površina SPA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(ha)</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5.120,06</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Udio SPA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8,92%</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Ukupna površina N2K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(ha)*</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7.346,22</w:t>
            </w:r>
          </w:p>
        </w:tc>
      </w:tr>
      <w:tr w:rsidR="00FA5A0D" w:rsidRPr="00FA5A0D" w:rsidTr="00720E16">
        <w:tc>
          <w:tcPr>
            <w:tcW w:w="3828" w:type="dxa"/>
            <w:shd w:val="clear" w:color="auto" w:fill="BDD6EE"/>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Ukupni udio N2K u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-u (%)*</w:t>
            </w:r>
          </w:p>
        </w:tc>
        <w:tc>
          <w:tcPr>
            <w:tcW w:w="5244" w:type="dxa"/>
          </w:tcPr>
          <w:p w:rsidR="00FA5A0D" w:rsidRPr="00FA5A0D" w:rsidRDefault="00FA5A0D" w:rsidP="00FA5A0D">
            <w:pPr>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12,80%</w:t>
            </w:r>
          </w:p>
        </w:tc>
      </w:tr>
    </w:tbl>
    <w:p w:rsidR="00FA5A0D" w:rsidRDefault="00FA5A0D" w:rsidP="00B25071">
      <w:pPr>
        <w:jc w:val="both"/>
        <w:rPr>
          <w:rFonts w:ascii="Times New Roman" w:hAnsi="Times New Roman" w:cs="Times New Roman"/>
          <w:b/>
          <w:sz w:val="28"/>
          <w:szCs w:val="28"/>
          <w:lang w:val="en-US"/>
        </w:rPr>
      </w:pPr>
    </w:p>
    <w:tbl>
      <w:tblPr>
        <w:tblStyle w:val="Reetkatablice51"/>
        <w:tblW w:w="9072" w:type="dxa"/>
        <w:tblInd w:w="108" w:type="dxa"/>
        <w:tblLayout w:type="fixed"/>
        <w:tblLook w:val="04A0" w:firstRow="1" w:lastRow="0" w:firstColumn="1" w:lastColumn="0" w:noHBand="0" w:noVBand="1"/>
      </w:tblPr>
      <w:tblGrid>
        <w:gridCol w:w="1730"/>
        <w:gridCol w:w="1418"/>
        <w:gridCol w:w="1134"/>
        <w:gridCol w:w="4790"/>
      </w:tblGrid>
      <w:tr w:rsidR="00FA5A0D" w:rsidRPr="00FA5A0D" w:rsidTr="00720E16">
        <w:tc>
          <w:tcPr>
            <w:tcW w:w="1730" w:type="dxa"/>
            <w:tcBorders>
              <w:bottom w:val="single" w:sz="4" w:space="0" w:color="auto"/>
            </w:tcBorders>
            <w:shd w:val="clear" w:color="auto" w:fill="BDD6EE"/>
          </w:tcPr>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SITE ime</w:t>
            </w:r>
          </w:p>
        </w:tc>
        <w:tc>
          <w:tcPr>
            <w:tcW w:w="1418" w:type="dxa"/>
            <w:tcBorders>
              <w:bottom w:val="single" w:sz="4" w:space="0" w:color="auto"/>
            </w:tcBorders>
            <w:shd w:val="clear" w:color="auto" w:fill="BDD6EE"/>
          </w:tcPr>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SITE kod</w:t>
            </w:r>
          </w:p>
        </w:tc>
        <w:tc>
          <w:tcPr>
            <w:tcW w:w="1134" w:type="dxa"/>
            <w:tcBorders>
              <w:bottom w:val="single" w:sz="4" w:space="0" w:color="auto"/>
            </w:tcBorders>
            <w:shd w:val="clear" w:color="auto" w:fill="BDD6EE"/>
          </w:tcPr>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SITE tip</w:t>
            </w:r>
          </w:p>
        </w:tc>
        <w:tc>
          <w:tcPr>
            <w:tcW w:w="4790" w:type="dxa"/>
            <w:tcBorders>
              <w:bottom w:val="single" w:sz="4" w:space="0" w:color="auto"/>
            </w:tcBorders>
            <w:shd w:val="clear" w:color="auto" w:fill="BDD6EE"/>
          </w:tcPr>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Link za podatke</w:t>
            </w:r>
          </w:p>
        </w:tc>
      </w:tr>
      <w:tr w:rsidR="00FA5A0D" w:rsidRPr="00FA5A0D" w:rsidTr="00720E16">
        <w:trPr>
          <w:trHeight w:val="654"/>
        </w:trPr>
        <w:tc>
          <w:tcPr>
            <w:tcW w:w="1730" w:type="dxa"/>
            <w:tcBorders>
              <w:top w:val="single" w:sz="4" w:space="0" w:color="auto"/>
              <w:left w:val="single" w:sz="4" w:space="0" w:color="auto"/>
              <w:bottom w:val="double" w:sz="4" w:space="0" w:color="auto"/>
              <w:right w:val="single" w:sz="4" w:space="0" w:color="auto"/>
            </w:tcBorders>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Učka i Ćićarija</w:t>
            </w:r>
          </w:p>
          <w:p w:rsidR="00FA5A0D" w:rsidRPr="00FA5A0D" w:rsidRDefault="00FA5A0D" w:rsidP="00FA5A0D">
            <w:pPr>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double" w:sz="4" w:space="0" w:color="auto"/>
              <w:right w:val="single" w:sz="4" w:space="0" w:color="auto"/>
            </w:tcBorders>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HR1000018</w:t>
            </w:r>
          </w:p>
        </w:tc>
        <w:tc>
          <w:tcPr>
            <w:tcW w:w="1134" w:type="dxa"/>
            <w:tcBorders>
              <w:top w:val="single" w:sz="4" w:space="0" w:color="auto"/>
              <w:left w:val="single" w:sz="4" w:space="0" w:color="auto"/>
              <w:bottom w:val="double" w:sz="4" w:space="0" w:color="auto"/>
              <w:right w:val="single" w:sz="4" w:space="0" w:color="auto"/>
            </w:tcBorders>
          </w:tcPr>
          <w:p w:rsidR="00FA5A0D" w:rsidRPr="00FA5A0D" w:rsidRDefault="00FA5A0D" w:rsidP="00FA5A0D">
            <w:pPr>
              <w:jc w:val="center"/>
              <w:rPr>
                <w:rFonts w:ascii="Times New Roman" w:eastAsia="Calibri" w:hAnsi="Times New Roman" w:cs="Times New Roman"/>
                <w:sz w:val="24"/>
                <w:szCs w:val="24"/>
              </w:rPr>
            </w:pPr>
          </w:p>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SPA</w:t>
            </w:r>
          </w:p>
        </w:tc>
        <w:tc>
          <w:tcPr>
            <w:tcW w:w="4790" w:type="dxa"/>
            <w:tcBorders>
              <w:top w:val="single" w:sz="4" w:space="0" w:color="auto"/>
              <w:left w:val="single" w:sz="4" w:space="0" w:color="auto"/>
              <w:bottom w:val="double" w:sz="4" w:space="0" w:color="auto"/>
              <w:right w:val="single" w:sz="4" w:space="0" w:color="auto"/>
            </w:tcBorders>
          </w:tcPr>
          <w:p w:rsidR="00FA5A0D" w:rsidRPr="00FA5A0D" w:rsidRDefault="00540458" w:rsidP="00FA5A0D">
            <w:pPr>
              <w:rPr>
                <w:rFonts w:ascii="Times New Roman" w:eastAsia="Calibri" w:hAnsi="Times New Roman" w:cs="Times New Roman"/>
                <w:sz w:val="24"/>
                <w:szCs w:val="24"/>
              </w:rPr>
            </w:pPr>
            <w:hyperlink r:id="rId11" w:history="1">
              <w:r w:rsidR="00FA5A0D" w:rsidRPr="00FA5A0D">
                <w:rPr>
                  <w:rFonts w:ascii="Times New Roman" w:eastAsia="Calibri" w:hAnsi="Times New Roman" w:cs="Times New Roman"/>
                  <w:color w:val="0000FF"/>
                  <w:sz w:val="24"/>
                  <w:szCs w:val="24"/>
                  <w:u w:val="single"/>
                </w:rPr>
                <w:t>http://natura2000.dzzp.hr/reportpublish/reportproxy.aspx?paramSITECODE=HR1000018</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Borders>
              <w:top w:val="double" w:sz="4" w:space="0" w:color="auto"/>
            </w:tcBorders>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Park prirode Učka</w:t>
            </w:r>
          </w:p>
        </w:tc>
        <w:tc>
          <w:tcPr>
            <w:tcW w:w="1418" w:type="dxa"/>
            <w:tcBorders>
              <w:top w:val="double" w:sz="4" w:space="0" w:color="auto"/>
            </w:tcBorders>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HR2000601</w:t>
            </w:r>
          </w:p>
        </w:tc>
        <w:tc>
          <w:tcPr>
            <w:tcW w:w="1134" w:type="dxa"/>
            <w:vMerge w:val="restart"/>
            <w:tcBorders>
              <w:top w:val="double" w:sz="4" w:space="0" w:color="auto"/>
            </w:tcBorders>
          </w:tcPr>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rPr>
                <w:rFonts w:ascii="Times New Roman" w:eastAsia="Calibri" w:hAnsi="Times New Roman" w:cs="Times New Roman"/>
                <w:sz w:val="24"/>
                <w:szCs w:val="24"/>
              </w:rPr>
            </w:pPr>
          </w:p>
          <w:p w:rsidR="00FA5A0D" w:rsidRPr="00FA5A0D" w:rsidRDefault="00FA5A0D" w:rsidP="00FA5A0D">
            <w:pPr>
              <w:jc w:val="center"/>
              <w:rPr>
                <w:rFonts w:ascii="Times New Roman" w:eastAsia="Calibri" w:hAnsi="Times New Roman" w:cs="Times New Roman"/>
                <w:sz w:val="24"/>
                <w:szCs w:val="24"/>
              </w:rPr>
            </w:pPr>
          </w:p>
          <w:p w:rsidR="00FA5A0D" w:rsidRPr="00FA5A0D" w:rsidRDefault="00FA5A0D" w:rsidP="00FA5A0D">
            <w:pPr>
              <w:jc w:val="center"/>
              <w:rPr>
                <w:rFonts w:ascii="Times New Roman" w:eastAsia="Calibri" w:hAnsi="Times New Roman" w:cs="Times New Roman"/>
                <w:sz w:val="24"/>
                <w:szCs w:val="24"/>
              </w:rPr>
            </w:pPr>
            <w:r w:rsidRPr="00FA5A0D">
              <w:rPr>
                <w:rFonts w:ascii="Times New Roman" w:eastAsia="Calibri" w:hAnsi="Times New Roman" w:cs="Times New Roman"/>
                <w:sz w:val="24"/>
                <w:szCs w:val="24"/>
              </w:rPr>
              <w:t>SCI</w:t>
            </w:r>
          </w:p>
        </w:tc>
        <w:tc>
          <w:tcPr>
            <w:tcW w:w="4790" w:type="dxa"/>
            <w:tcBorders>
              <w:top w:val="double" w:sz="4" w:space="0" w:color="auto"/>
            </w:tcBorders>
          </w:tcPr>
          <w:p w:rsidR="00FA5A0D" w:rsidRPr="00FA5A0D" w:rsidRDefault="00540458" w:rsidP="00FA5A0D">
            <w:pPr>
              <w:rPr>
                <w:rFonts w:ascii="Times New Roman" w:eastAsia="Calibri" w:hAnsi="Times New Roman" w:cs="Times New Roman"/>
                <w:sz w:val="24"/>
                <w:szCs w:val="24"/>
              </w:rPr>
            </w:pPr>
            <w:hyperlink r:id="rId12" w:history="1">
              <w:r w:rsidR="00FA5A0D" w:rsidRPr="00FA5A0D">
                <w:rPr>
                  <w:rFonts w:ascii="Times New Roman" w:eastAsia="Calibri" w:hAnsi="Times New Roman" w:cs="Times New Roman"/>
                  <w:color w:val="0000FF"/>
                  <w:sz w:val="24"/>
                  <w:szCs w:val="24"/>
                  <w:u w:val="single"/>
                </w:rPr>
                <w:t>http://natura2000.dzzp.hr/reportpublish/reportproxy.aspx?paramSITECODE=HR2000601</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Boljunsko polje</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HR2001215</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3" w:history="1">
              <w:r w:rsidR="00FA5A0D" w:rsidRPr="00FA5A0D">
                <w:rPr>
                  <w:rFonts w:ascii="Times New Roman" w:eastAsia="Calibri" w:hAnsi="Times New Roman" w:cs="Times New Roman"/>
                  <w:color w:val="0000FF"/>
                  <w:sz w:val="24"/>
                  <w:szCs w:val="24"/>
                  <w:u w:val="single"/>
                </w:rPr>
                <w:t>http://natura2000.dzzp.hr/reportpublish/reportproxy.aspx?paramSITECODE=HR2001215</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Poluotok Ubaš</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HR2001334</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4" w:history="1">
              <w:r w:rsidR="00FA5A0D" w:rsidRPr="00FA5A0D">
                <w:rPr>
                  <w:rFonts w:ascii="Times New Roman" w:eastAsia="Calibri" w:hAnsi="Times New Roman" w:cs="Times New Roman"/>
                  <w:color w:val="0000FF"/>
                  <w:sz w:val="24"/>
                  <w:szCs w:val="24"/>
                  <w:u w:val="single"/>
                </w:rPr>
                <w:t>http://natura2000.dzzp.hr/reportpublish/reportproxy.aspx?paramSITECODE=HR2001334</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Dolina Raše</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HR2001349</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5" w:history="1">
              <w:r w:rsidR="00FA5A0D" w:rsidRPr="00FA5A0D">
                <w:rPr>
                  <w:rFonts w:ascii="Times New Roman" w:eastAsia="Calibri" w:hAnsi="Times New Roman" w:cs="Times New Roman"/>
                  <w:color w:val="0000FF"/>
                  <w:sz w:val="24"/>
                  <w:szCs w:val="24"/>
                  <w:u w:val="single"/>
                </w:rPr>
                <w:t>http://natura2000.dzzp.hr/reportpublish/reportproxy.aspx?paramSITECODE=HR2001349</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Pazinština</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HR2001365</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6" w:history="1">
              <w:r w:rsidR="00FA5A0D" w:rsidRPr="00FA5A0D">
                <w:rPr>
                  <w:rFonts w:ascii="Times New Roman" w:eastAsia="Calibri" w:hAnsi="Times New Roman" w:cs="Times New Roman"/>
                  <w:color w:val="0000FF"/>
                  <w:sz w:val="24"/>
                  <w:szCs w:val="24"/>
                  <w:u w:val="single"/>
                </w:rPr>
                <w:t>http://natura2000.dzzp.hr/reportpublish/reportproxy.aspx?paramSITECODE=HR2001365</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lastRenderedPageBreak/>
              <w:t>Čepić tunel</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HR2001434</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7" w:history="1">
              <w:r w:rsidR="00FA5A0D" w:rsidRPr="00FA5A0D">
                <w:rPr>
                  <w:rFonts w:ascii="Times New Roman" w:eastAsia="Calibri" w:hAnsi="Times New Roman" w:cs="Times New Roman"/>
                  <w:color w:val="0000FF"/>
                  <w:sz w:val="24"/>
                  <w:szCs w:val="24"/>
                  <w:u w:val="single"/>
                </w:rPr>
                <w:t>http://natura2000.dzzp.hr/reportpublish/reportproxy.aspx?paramSITECODE=HR2001434</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Istra</w:t>
            </w:r>
            <w:r>
              <w:rPr>
                <w:rFonts w:ascii="Times New Roman" w:eastAsia="Calibri" w:hAnsi="Times New Roman" w:cs="Times New Roman"/>
                <w:sz w:val="24"/>
                <w:szCs w:val="24"/>
              </w:rPr>
              <w:t xml:space="preserve"> </w:t>
            </w:r>
            <w:r w:rsidRPr="00FA5A0D">
              <w:rPr>
                <w:rFonts w:ascii="Times New Roman" w:eastAsia="Calibri" w:hAnsi="Times New Roman" w:cs="Times New Roman"/>
                <w:sz w:val="24"/>
                <w:szCs w:val="24"/>
              </w:rPr>
              <w:t>- Čepićko polje</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HR2001486</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8" w:history="1">
              <w:r w:rsidR="00FA5A0D" w:rsidRPr="00FA5A0D">
                <w:rPr>
                  <w:rFonts w:ascii="Times New Roman" w:eastAsia="Calibri" w:hAnsi="Times New Roman" w:cs="Times New Roman"/>
                  <w:color w:val="0000FF"/>
                  <w:sz w:val="24"/>
                  <w:szCs w:val="24"/>
                  <w:u w:val="single"/>
                </w:rPr>
                <w:t>http://natura2000.dzzp.hr/reportpublish/reportproxy.aspx?paramSITECODE=HR2001486</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Plomin – Moščenička draga</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HR3000002</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19" w:history="1">
              <w:r w:rsidR="00FA5A0D" w:rsidRPr="00FA5A0D">
                <w:rPr>
                  <w:rFonts w:ascii="Times New Roman" w:eastAsia="Calibri" w:hAnsi="Times New Roman" w:cs="Times New Roman"/>
                  <w:color w:val="0000FF"/>
                  <w:sz w:val="24"/>
                  <w:szCs w:val="24"/>
                  <w:u w:val="single"/>
                </w:rPr>
                <w:t>http://natura2000.dzzp.hr/reportpublish/reportproxy.aspx?paramSITECODE=HR3000002</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Ušće Raše</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HR3000432</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0" w:history="1">
              <w:r w:rsidR="00FA5A0D" w:rsidRPr="00FA5A0D">
                <w:rPr>
                  <w:rFonts w:ascii="Times New Roman" w:eastAsia="Calibri" w:hAnsi="Times New Roman" w:cs="Times New Roman"/>
                  <w:color w:val="0000FF"/>
                  <w:sz w:val="24"/>
                  <w:szCs w:val="24"/>
                  <w:u w:val="single"/>
                </w:rPr>
                <w:t>http://natura2000.dzzp.hr/reportpublish/reportproxy.aspx?paramSITECODE=HR3000432</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Uvala Remac</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HR3000463</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1" w:history="1">
              <w:r w:rsidR="00FA5A0D" w:rsidRPr="00FA5A0D">
                <w:rPr>
                  <w:rFonts w:ascii="Times New Roman" w:eastAsia="Calibri" w:hAnsi="Times New Roman" w:cs="Times New Roman"/>
                  <w:color w:val="0000FF"/>
                  <w:sz w:val="24"/>
                  <w:szCs w:val="24"/>
                  <w:u w:val="single"/>
                </w:rPr>
                <w:t>http://natura2000.dzzp.hr/reportpublish/reportproxy.aspx?paramSITECODE=HR3000463</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Podmorje kod Rabca</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HR3000470</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2" w:history="1">
              <w:r w:rsidR="00FA5A0D" w:rsidRPr="00FA5A0D">
                <w:rPr>
                  <w:rFonts w:ascii="Times New Roman" w:eastAsia="Calibri" w:hAnsi="Times New Roman" w:cs="Times New Roman"/>
                  <w:color w:val="0000FF"/>
                  <w:sz w:val="24"/>
                  <w:szCs w:val="24"/>
                  <w:u w:val="single"/>
                </w:rPr>
                <w:t>http://natura2000.dzzp.hr/reportpublish/reportproxy.aspx?paramSITECODE=HR3000470</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Uvala Škvaranska – Uvala Sv. Marina</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HR3000471</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3" w:history="1">
              <w:r w:rsidR="00FA5A0D" w:rsidRPr="00FA5A0D">
                <w:rPr>
                  <w:rFonts w:ascii="Times New Roman" w:eastAsia="Calibri" w:hAnsi="Times New Roman" w:cs="Times New Roman"/>
                  <w:color w:val="0000FF"/>
                  <w:sz w:val="24"/>
                  <w:szCs w:val="24"/>
                  <w:u w:val="single"/>
                </w:rPr>
                <w:t>http://natura2000.dzzp.hr/reportpublish/reportproxy.aspx?paramSITECODE=HR3000471</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Ponor Bregi</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HR2001133</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4" w:history="1">
              <w:r w:rsidR="00FA5A0D" w:rsidRPr="00FA5A0D">
                <w:rPr>
                  <w:rFonts w:ascii="Times New Roman" w:eastAsia="Calibri" w:hAnsi="Times New Roman" w:cs="Times New Roman"/>
                  <w:color w:val="0000FF"/>
                  <w:sz w:val="24"/>
                  <w:szCs w:val="24"/>
                  <w:u w:val="single"/>
                </w:rPr>
                <w:t>http://natura2000.dzzp.hr/reportpublish/reportproxy.aspx?paramSITECODE=HR2001133</w:t>
              </w:r>
            </w:hyperlink>
            <w:r w:rsidR="00FA5A0D" w:rsidRPr="00FA5A0D">
              <w:rPr>
                <w:rFonts w:ascii="Times New Roman" w:eastAsia="Calibri" w:hAnsi="Times New Roman" w:cs="Times New Roman"/>
                <w:sz w:val="24"/>
                <w:szCs w:val="24"/>
              </w:rPr>
              <w:t xml:space="preserve"> </w:t>
            </w:r>
          </w:p>
        </w:tc>
      </w:tr>
      <w:tr w:rsidR="00FA5A0D" w:rsidRPr="00FA5A0D" w:rsidTr="00720E16">
        <w:tc>
          <w:tcPr>
            <w:tcW w:w="1730"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Rudnik ugljena; Raša</w:t>
            </w:r>
          </w:p>
        </w:tc>
        <w:tc>
          <w:tcPr>
            <w:tcW w:w="1418" w:type="dxa"/>
          </w:tcPr>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sz w:val="24"/>
                <w:szCs w:val="24"/>
              </w:rPr>
              <w:t>HR2001239</w:t>
            </w:r>
          </w:p>
        </w:tc>
        <w:tc>
          <w:tcPr>
            <w:tcW w:w="1134" w:type="dxa"/>
            <w:vMerge/>
          </w:tcPr>
          <w:p w:rsidR="00FA5A0D" w:rsidRPr="00FA5A0D" w:rsidRDefault="00FA5A0D" w:rsidP="00FA5A0D">
            <w:pPr>
              <w:rPr>
                <w:rFonts w:ascii="Times New Roman" w:eastAsia="Calibri" w:hAnsi="Times New Roman" w:cs="Times New Roman"/>
                <w:sz w:val="24"/>
                <w:szCs w:val="24"/>
              </w:rPr>
            </w:pPr>
          </w:p>
        </w:tc>
        <w:tc>
          <w:tcPr>
            <w:tcW w:w="4790" w:type="dxa"/>
          </w:tcPr>
          <w:p w:rsidR="00FA5A0D" w:rsidRPr="00FA5A0D" w:rsidRDefault="00540458" w:rsidP="00FA5A0D">
            <w:pPr>
              <w:rPr>
                <w:rFonts w:ascii="Times New Roman" w:eastAsia="Calibri" w:hAnsi="Times New Roman" w:cs="Times New Roman"/>
                <w:sz w:val="24"/>
                <w:szCs w:val="24"/>
              </w:rPr>
            </w:pPr>
            <w:hyperlink r:id="rId25" w:history="1">
              <w:r w:rsidR="00FA5A0D" w:rsidRPr="00FA5A0D">
                <w:rPr>
                  <w:rFonts w:ascii="Times New Roman" w:eastAsia="Calibri" w:hAnsi="Times New Roman" w:cs="Times New Roman"/>
                  <w:color w:val="0000FF"/>
                  <w:sz w:val="24"/>
                  <w:szCs w:val="24"/>
                  <w:u w:val="single"/>
                </w:rPr>
                <w:t>http://natura2000.dzzp.hr/reportpublish/reportproxy.aspx?paramSITECODE=HR2001239</w:t>
              </w:r>
            </w:hyperlink>
            <w:r w:rsidR="00FA5A0D" w:rsidRPr="00FA5A0D">
              <w:rPr>
                <w:rFonts w:ascii="Times New Roman" w:eastAsia="Calibri" w:hAnsi="Times New Roman" w:cs="Times New Roman"/>
                <w:sz w:val="24"/>
                <w:szCs w:val="24"/>
              </w:rPr>
              <w:t xml:space="preserve"> </w:t>
            </w:r>
          </w:p>
        </w:tc>
      </w:tr>
    </w:tbl>
    <w:p w:rsidR="00FA5A0D" w:rsidRDefault="00FA5A0D" w:rsidP="00B25071">
      <w:pPr>
        <w:jc w:val="both"/>
        <w:rPr>
          <w:rFonts w:ascii="Times New Roman" w:hAnsi="Times New Roman" w:cs="Times New Roman"/>
          <w:b/>
          <w:sz w:val="28"/>
          <w:szCs w:val="28"/>
          <w:lang w:val="en-US"/>
        </w:rPr>
      </w:pPr>
    </w:p>
    <w:p w:rsidR="00FA5A0D" w:rsidRPr="00FA5A0D" w:rsidRDefault="00FA5A0D" w:rsidP="00FA5A0D">
      <w:pPr>
        <w:autoSpaceDE w:val="0"/>
        <w:autoSpaceDN w:val="0"/>
        <w:adjustRightInd w:val="0"/>
        <w:spacing w:after="0" w:line="240" w:lineRule="auto"/>
        <w:rPr>
          <w:rFonts w:ascii="Times New Roman" w:eastAsia="Calibri" w:hAnsi="Times New Roman" w:cs="Times New Roman"/>
          <w:color w:val="000000"/>
          <w:sz w:val="24"/>
          <w:szCs w:val="24"/>
        </w:rPr>
      </w:pPr>
      <w:r w:rsidRPr="00FA5A0D">
        <w:rPr>
          <w:rFonts w:ascii="Times New Roman" w:eastAsia="Calibri" w:hAnsi="Times New Roman" w:cs="Times New Roman"/>
          <w:color w:val="000000"/>
          <w:sz w:val="24"/>
          <w:szCs w:val="24"/>
        </w:rPr>
        <w:t>SCI (=POVS) - Područja od značaja za Zajednicu</w:t>
      </w:r>
    </w:p>
    <w:p w:rsidR="00FA5A0D" w:rsidRPr="00FA5A0D" w:rsidRDefault="00FA5A0D" w:rsidP="00FA5A0D">
      <w:pPr>
        <w:autoSpaceDE w:val="0"/>
        <w:autoSpaceDN w:val="0"/>
        <w:adjustRightInd w:val="0"/>
        <w:spacing w:after="0" w:line="240" w:lineRule="auto"/>
        <w:rPr>
          <w:rFonts w:ascii="Times New Roman" w:eastAsia="Calibri" w:hAnsi="Times New Roman" w:cs="Times New Roman"/>
          <w:color w:val="000000"/>
          <w:sz w:val="24"/>
          <w:szCs w:val="24"/>
        </w:rPr>
      </w:pPr>
      <w:r w:rsidRPr="00FA5A0D">
        <w:rPr>
          <w:rFonts w:ascii="Times New Roman" w:eastAsia="Calibri" w:hAnsi="Times New Roman" w:cs="Times New Roman"/>
          <w:color w:val="000000"/>
          <w:sz w:val="24"/>
          <w:szCs w:val="24"/>
        </w:rPr>
        <w:t>POVS - Područja očuvanja značajna za vrste i stanišne tipove</w:t>
      </w:r>
    </w:p>
    <w:p w:rsidR="00FA5A0D" w:rsidRPr="00FA5A0D" w:rsidRDefault="00FA5A0D" w:rsidP="00FA5A0D">
      <w:pPr>
        <w:autoSpaceDE w:val="0"/>
        <w:autoSpaceDN w:val="0"/>
        <w:adjustRightInd w:val="0"/>
        <w:spacing w:after="0" w:line="240" w:lineRule="auto"/>
        <w:rPr>
          <w:rFonts w:ascii="Times New Roman" w:eastAsia="Calibri" w:hAnsi="Times New Roman" w:cs="Times New Roman"/>
          <w:color w:val="000000"/>
          <w:sz w:val="24"/>
          <w:szCs w:val="24"/>
        </w:rPr>
      </w:pPr>
      <w:r w:rsidRPr="00FA5A0D">
        <w:rPr>
          <w:rFonts w:ascii="Times New Roman" w:eastAsia="Calibri" w:hAnsi="Times New Roman" w:cs="Times New Roman"/>
          <w:color w:val="000000"/>
          <w:sz w:val="24"/>
          <w:szCs w:val="24"/>
        </w:rPr>
        <w:t>SPA (=POP) - Područje posebne zaštite</w:t>
      </w:r>
    </w:p>
    <w:p w:rsidR="00FA5A0D" w:rsidRPr="00FA5A0D" w:rsidRDefault="00FA5A0D" w:rsidP="00FA5A0D">
      <w:pPr>
        <w:autoSpaceDE w:val="0"/>
        <w:autoSpaceDN w:val="0"/>
        <w:adjustRightInd w:val="0"/>
        <w:spacing w:after="0" w:line="240" w:lineRule="auto"/>
        <w:rPr>
          <w:rFonts w:ascii="Times New Roman" w:eastAsia="Calibri" w:hAnsi="Times New Roman" w:cs="Times New Roman"/>
          <w:color w:val="000000"/>
          <w:sz w:val="24"/>
          <w:szCs w:val="24"/>
        </w:rPr>
      </w:pPr>
      <w:r w:rsidRPr="00FA5A0D">
        <w:rPr>
          <w:rFonts w:ascii="Times New Roman" w:eastAsia="Calibri" w:hAnsi="Times New Roman" w:cs="Times New Roman"/>
          <w:color w:val="000000"/>
          <w:sz w:val="24"/>
          <w:szCs w:val="24"/>
        </w:rPr>
        <w:t>POP - Područja očuvanja značajna za ptice</w:t>
      </w:r>
    </w:p>
    <w:p w:rsidR="00FA5A0D" w:rsidRPr="00FA5A0D" w:rsidRDefault="00FA5A0D" w:rsidP="00FA5A0D">
      <w:pPr>
        <w:autoSpaceDE w:val="0"/>
        <w:autoSpaceDN w:val="0"/>
        <w:adjustRightInd w:val="0"/>
        <w:spacing w:after="0" w:line="240" w:lineRule="auto"/>
        <w:rPr>
          <w:rFonts w:ascii="Times New Roman" w:eastAsia="Calibri" w:hAnsi="Times New Roman" w:cs="Times New Roman"/>
          <w:color w:val="000000"/>
          <w:sz w:val="24"/>
          <w:szCs w:val="24"/>
        </w:rPr>
      </w:pPr>
      <w:r w:rsidRPr="00FA5A0D">
        <w:rPr>
          <w:rFonts w:ascii="Times New Roman" w:eastAsia="Calibri" w:hAnsi="Times New Roman" w:cs="Times New Roman"/>
          <w:color w:val="FF0000"/>
          <w:sz w:val="24"/>
          <w:szCs w:val="24"/>
        </w:rPr>
        <w:t xml:space="preserve">* </w:t>
      </w:r>
      <w:r w:rsidRPr="00FA5A0D">
        <w:rPr>
          <w:rFonts w:ascii="Times New Roman" w:eastAsia="Calibri" w:hAnsi="Times New Roman" w:cs="Times New Roman"/>
          <w:color w:val="000000"/>
          <w:sz w:val="24"/>
          <w:szCs w:val="24"/>
        </w:rPr>
        <w:t>dio SCI i SPA područja se površinama preklapaju</w:t>
      </w:r>
    </w:p>
    <w:p w:rsidR="00FA5A0D" w:rsidRPr="00FA5A0D" w:rsidRDefault="00FA5A0D" w:rsidP="00FA5A0D">
      <w:pPr>
        <w:rPr>
          <w:rFonts w:ascii="Times New Roman" w:eastAsia="Calibri" w:hAnsi="Times New Roman" w:cs="Times New Roman"/>
          <w:sz w:val="24"/>
          <w:szCs w:val="24"/>
        </w:rPr>
      </w:pPr>
      <w:r w:rsidRPr="00FA5A0D">
        <w:rPr>
          <w:rFonts w:ascii="Times New Roman" w:eastAsia="Calibri" w:hAnsi="Times New Roman" w:cs="Times New Roman"/>
          <w:color w:val="FFC100"/>
          <w:sz w:val="24"/>
          <w:szCs w:val="24"/>
        </w:rPr>
        <w:t xml:space="preserve">* </w:t>
      </w:r>
      <w:r w:rsidRPr="00FA5A0D">
        <w:rPr>
          <w:rFonts w:ascii="Times New Roman" w:eastAsia="Calibri" w:hAnsi="Times New Roman" w:cs="Times New Roman"/>
          <w:color w:val="000000"/>
          <w:sz w:val="24"/>
          <w:szCs w:val="24"/>
        </w:rPr>
        <w:t>u površinu uračunat i morski teritorij</w:t>
      </w: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Default="00FA5A0D" w:rsidP="00B25071">
      <w:pPr>
        <w:jc w:val="both"/>
        <w:rPr>
          <w:rFonts w:ascii="Times New Roman" w:hAnsi="Times New Roman" w:cs="Times New Roman"/>
          <w:b/>
          <w:sz w:val="28"/>
          <w:szCs w:val="28"/>
          <w:lang w:val="en-US"/>
        </w:rPr>
      </w:pPr>
    </w:p>
    <w:p w:rsidR="00FA5A0D" w:rsidRPr="00FC79BD" w:rsidRDefault="00FA5A0D" w:rsidP="00B25071">
      <w:pPr>
        <w:jc w:val="both"/>
        <w:rPr>
          <w:rFonts w:ascii="Times New Roman" w:hAnsi="Times New Roman" w:cs="Times New Roman"/>
          <w:b/>
          <w:sz w:val="28"/>
          <w:szCs w:val="28"/>
          <w:lang w:val="it-IT"/>
          <w:rPrChange w:id="1" w:author="LAG Istočna Istra" w:date="2019-03-14T09:41:00Z">
            <w:rPr>
              <w:rFonts w:ascii="Times New Roman" w:hAnsi="Times New Roman" w:cs="Times New Roman"/>
              <w:b/>
              <w:sz w:val="28"/>
              <w:szCs w:val="28"/>
              <w:lang w:val="en-US"/>
            </w:rPr>
          </w:rPrChange>
        </w:rPr>
      </w:pPr>
      <w:r w:rsidRPr="00FC79BD">
        <w:rPr>
          <w:rFonts w:ascii="Times New Roman" w:hAnsi="Times New Roman" w:cs="Times New Roman"/>
          <w:b/>
          <w:sz w:val="28"/>
          <w:szCs w:val="28"/>
          <w:lang w:val="it-IT"/>
          <w:rPrChange w:id="2" w:author="LAG Istočna Istra" w:date="2019-03-14T09:41:00Z">
            <w:rPr>
              <w:rFonts w:ascii="Times New Roman" w:hAnsi="Times New Roman" w:cs="Times New Roman"/>
              <w:b/>
              <w:sz w:val="28"/>
              <w:szCs w:val="28"/>
              <w:lang w:val="en-US"/>
            </w:rPr>
          </w:rPrChange>
        </w:rPr>
        <w:lastRenderedPageBreak/>
        <w:t xml:space="preserve">Prilog 3 – Stanje komunalne infrastructure na području LAGUR-a “Alba” </w:t>
      </w:r>
    </w:p>
    <w:p w:rsidR="00FA5A0D" w:rsidRPr="00FA5A0D" w:rsidRDefault="00FA5A0D" w:rsidP="00FA5A0D">
      <w:pPr>
        <w:keepNext/>
        <w:keepLines/>
        <w:spacing w:before="240" w:after="120" w:line="240" w:lineRule="auto"/>
        <w:jc w:val="both"/>
        <w:outlineLvl w:val="0"/>
        <w:rPr>
          <w:rFonts w:ascii="Times New Roman" w:eastAsia="Times New Roman" w:hAnsi="Times New Roman" w:cs="Times New Roman"/>
          <w:b/>
          <w:sz w:val="24"/>
          <w:szCs w:val="24"/>
        </w:rPr>
      </w:pPr>
      <w:r w:rsidRPr="00FA5A0D">
        <w:rPr>
          <w:rFonts w:ascii="Times New Roman" w:eastAsia="Times New Roman" w:hAnsi="Times New Roman" w:cs="Times New Roman"/>
          <w:b/>
          <w:sz w:val="24"/>
          <w:szCs w:val="24"/>
        </w:rPr>
        <w:t>3.1. - Karakteristike prometne infrastrukture</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Grad Labin je od svih JLS-ova najbolje opremljen prometnom infrastrukturom. U svojoj blizini ima željeznicu, trajektnu luku, zračnu luku te je moguće organizirati i prihvat hidroaviona. U sljedećoj tablici prikazana je udaljenost Labina, koji je administrativno središte LAG</w:t>
      </w:r>
      <w:r>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-a, od najznačajnijih točaka u regiji.</w:t>
      </w:r>
    </w:p>
    <w:p w:rsidR="00FA5A0D" w:rsidRPr="00FA5A0D" w:rsidRDefault="00FA5A0D" w:rsidP="00FA5A0D">
      <w:pPr>
        <w:spacing w:after="0" w:line="240" w:lineRule="auto"/>
        <w:jc w:val="both"/>
        <w:rPr>
          <w:rFonts w:ascii="Times New Roman" w:eastAsia="Times New Roman" w:hAnsi="Times New Roman" w:cs="Times New Roman"/>
          <w:sz w:val="24"/>
          <w:szCs w:val="24"/>
        </w:rPr>
      </w:pPr>
    </w:p>
    <w:p w:rsidR="00FA5A0D" w:rsidRPr="00FA5A0D" w:rsidRDefault="00FA5A0D" w:rsidP="00FA5A0D">
      <w:pPr>
        <w:spacing w:after="0" w:line="240" w:lineRule="auto"/>
        <w:jc w:val="center"/>
        <w:rPr>
          <w:rFonts w:ascii="Times New Roman" w:eastAsia="Times New Roman" w:hAnsi="Times New Roman" w:cs="Times New Roman"/>
          <w:b/>
          <w:iCs/>
          <w:color w:val="44546A"/>
          <w:sz w:val="20"/>
          <w:szCs w:val="20"/>
        </w:rPr>
      </w:pPr>
      <w:r w:rsidRPr="00FA5A0D">
        <w:rPr>
          <w:rFonts w:ascii="Times New Roman" w:eastAsia="Times New Roman" w:hAnsi="Times New Roman" w:cs="Times New Roman"/>
          <w:b/>
          <w:iCs/>
          <w:color w:val="44546A"/>
          <w:sz w:val="20"/>
          <w:szCs w:val="20"/>
        </w:rPr>
        <w:t>Tablica 1 - Udaljenost administrativnog središta LAG</w:t>
      </w:r>
      <w:r>
        <w:rPr>
          <w:rFonts w:ascii="Times New Roman" w:eastAsia="Times New Roman" w:hAnsi="Times New Roman" w:cs="Times New Roman"/>
          <w:b/>
          <w:iCs/>
          <w:color w:val="44546A"/>
          <w:sz w:val="20"/>
          <w:szCs w:val="20"/>
        </w:rPr>
        <w:t>UR</w:t>
      </w:r>
      <w:r w:rsidRPr="00FA5A0D">
        <w:rPr>
          <w:rFonts w:ascii="Times New Roman" w:eastAsia="Times New Roman" w:hAnsi="Times New Roman" w:cs="Times New Roman"/>
          <w:b/>
          <w:iCs/>
          <w:color w:val="44546A"/>
          <w:sz w:val="20"/>
          <w:szCs w:val="20"/>
        </w:rPr>
        <w:t>-a od značajnih točaka u regiji</w:t>
      </w:r>
    </w:p>
    <w:tbl>
      <w:tblPr>
        <w:tblStyle w:val="Reetkatablice7"/>
        <w:tblW w:w="0" w:type="auto"/>
        <w:tblInd w:w="1526" w:type="dxa"/>
        <w:tblLook w:val="04A0" w:firstRow="1" w:lastRow="0" w:firstColumn="1" w:lastColumn="0" w:noHBand="0" w:noVBand="1"/>
      </w:tblPr>
      <w:tblGrid>
        <w:gridCol w:w="3046"/>
        <w:gridCol w:w="2624"/>
      </w:tblGrid>
      <w:tr w:rsidR="00FA5A0D" w:rsidRPr="00FA5A0D" w:rsidTr="00720E16">
        <w:tc>
          <w:tcPr>
            <w:tcW w:w="3046" w:type="dxa"/>
            <w:shd w:val="clear" w:color="auto" w:fill="9CC2E5"/>
          </w:tcPr>
          <w:p w:rsidR="00FA5A0D" w:rsidRPr="00FA5A0D" w:rsidRDefault="00FA5A0D" w:rsidP="00FA5A0D">
            <w:pPr>
              <w:jc w:val="center"/>
              <w:rPr>
                <w:rFonts w:ascii="Times New Roman" w:eastAsia="Times New Roman" w:hAnsi="Times New Roman"/>
                <w:b/>
                <w:sz w:val="24"/>
                <w:szCs w:val="24"/>
              </w:rPr>
            </w:pPr>
            <w:r w:rsidRPr="00FA5A0D">
              <w:rPr>
                <w:rFonts w:ascii="Times New Roman" w:eastAsia="Times New Roman" w:hAnsi="Times New Roman"/>
                <w:b/>
                <w:sz w:val="24"/>
                <w:szCs w:val="24"/>
              </w:rPr>
              <w:t>Odredište</w:t>
            </w:r>
          </w:p>
        </w:tc>
        <w:tc>
          <w:tcPr>
            <w:tcW w:w="2624" w:type="dxa"/>
            <w:shd w:val="clear" w:color="auto" w:fill="9CC2E5"/>
          </w:tcPr>
          <w:p w:rsidR="00FA5A0D" w:rsidRPr="00FA5A0D" w:rsidRDefault="00FA5A0D" w:rsidP="00FA5A0D">
            <w:pPr>
              <w:jc w:val="center"/>
              <w:rPr>
                <w:rFonts w:ascii="Times New Roman" w:eastAsia="Times New Roman" w:hAnsi="Times New Roman"/>
                <w:b/>
                <w:sz w:val="24"/>
                <w:szCs w:val="24"/>
              </w:rPr>
            </w:pPr>
            <w:r w:rsidRPr="00FA5A0D">
              <w:rPr>
                <w:rFonts w:ascii="Times New Roman" w:eastAsia="Times New Roman" w:hAnsi="Times New Roman"/>
                <w:b/>
                <w:sz w:val="24"/>
                <w:szCs w:val="24"/>
              </w:rPr>
              <w:t>Iznos kilometara</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Rijeka</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62</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Pula</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42</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Plomin Luka</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14</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Luka Bršica</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13</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Zračna luka Pula</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38</w:t>
            </w:r>
          </w:p>
        </w:tc>
      </w:tr>
      <w:tr w:rsidR="00FA5A0D" w:rsidRPr="00FA5A0D" w:rsidTr="00720E16">
        <w:tc>
          <w:tcPr>
            <w:tcW w:w="3046" w:type="dxa"/>
            <w:shd w:val="clear" w:color="auto" w:fill="DEEAF6"/>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Pazin</w:t>
            </w:r>
          </w:p>
        </w:tc>
        <w:tc>
          <w:tcPr>
            <w:tcW w:w="2624" w:type="dxa"/>
          </w:tcPr>
          <w:p w:rsidR="00FA5A0D" w:rsidRPr="00FA5A0D" w:rsidRDefault="00FA5A0D" w:rsidP="00FA5A0D">
            <w:pPr>
              <w:jc w:val="center"/>
              <w:rPr>
                <w:rFonts w:ascii="Times New Roman" w:eastAsia="Times New Roman" w:hAnsi="Times New Roman"/>
                <w:sz w:val="24"/>
                <w:szCs w:val="24"/>
              </w:rPr>
            </w:pPr>
            <w:r w:rsidRPr="00FA5A0D">
              <w:rPr>
                <w:rFonts w:ascii="Times New Roman" w:eastAsia="Times New Roman" w:hAnsi="Times New Roman"/>
                <w:sz w:val="24"/>
                <w:szCs w:val="24"/>
              </w:rPr>
              <w:t>34</w:t>
            </w:r>
          </w:p>
        </w:tc>
      </w:tr>
    </w:tbl>
    <w:p w:rsidR="00FA5A0D" w:rsidRPr="00FA5A0D" w:rsidRDefault="00FA5A0D" w:rsidP="00FA5A0D">
      <w:pPr>
        <w:spacing w:after="0" w:line="240" w:lineRule="auto"/>
        <w:jc w:val="center"/>
        <w:rPr>
          <w:rFonts w:ascii="Times New Roman" w:eastAsia="Times New Roman" w:hAnsi="Times New Roman" w:cs="Times New Roman"/>
          <w:i/>
          <w:noProof/>
          <w:sz w:val="20"/>
          <w:szCs w:val="20"/>
        </w:rPr>
      </w:pPr>
      <w:r w:rsidRPr="00FA5A0D">
        <w:rPr>
          <w:rFonts w:ascii="Times New Roman" w:eastAsia="Times New Roman" w:hAnsi="Times New Roman" w:cs="Times New Roman"/>
          <w:i/>
          <w:noProof/>
          <w:sz w:val="20"/>
          <w:szCs w:val="20"/>
        </w:rPr>
        <w:t>Izvor: Materijal izrađen od strane LAG</w:t>
      </w:r>
      <w:r>
        <w:rPr>
          <w:rFonts w:ascii="Times New Roman" w:eastAsia="Times New Roman" w:hAnsi="Times New Roman" w:cs="Times New Roman"/>
          <w:i/>
          <w:noProof/>
          <w:sz w:val="20"/>
          <w:szCs w:val="20"/>
        </w:rPr>
        <w:t>UR</w:t>
      </w:r>
      <w:r w:rsidRPr="00FA5A0D">
        <w:rPr>
          <w:rFonts w:ascii="Times New Roman" w:eastAsia="Times New Roman" w:hAnsi="Times New Roman" w:cs="Times New Roman"/>
          <w:i/>
          <w:noProof/>
          <w:sz w:val="20"/>
          <w:szCs w:val="20"/>
        </w:rPr>
        <w:t>-a, 2016.g.</w:t>
      </w:r>
    </w:p>
    <w:p w:rsidR="00FA5A0D" w:rsidRPr="00FA5A0D" w:rsidRDefault="00FA5A0D" w:rsidP="00FA5A0D">
      <w:pPr>
        <w:spacing w:after="0" w:line="240" w:lineRule="auto"/>
        <w:jc w:val="both"/>
        <w:rPr>
          <w:rFonts w:ascii="Times New Roman" w:eastAsia="Times New Roman" w:hAnsi="Times New Roman" w:cs="Times New Roman"/>
          <w:i/>
          <w:sz w:val="24"/>
          <w:szCs w:val="24"/>
        </w:rPr>
      </w:pP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Izuzev Labina, ostale JLS nemaju dobro razvijenu prometnu infrastrukturu koju, između ostaloga, karakterizira loša kvaliteta nerazvrstanih cesta. Turistički zanimljiva područja nisu adekvatno prometno povezana te je neophodno ista urediti i učiniti pristupačnima za posjetitelje. Većina općina nema željezničke pruge, a one koje ju imaju je loša, zastarjela, promet mali, iako željeznica u Istri ima dugu tradiciju povezanu s vremenom intenzivnog rudarenja. Lokalne ceste različitih su širina 3,5-5,0 metara, lošijih tehničkih elemenata i preglednosti, s neriješenom odvodnjom i vrlo slabom signalizacijom, dijelom kroz naseljena područja i bez nogostupa te se pješaci kao i biciklisti kreću cestom kojom prometuju druga vozila. Iako se već godinama spominju u planovima, biciklističke staze nisu uređene i trenutno se postojeće pružaju duž cestovne infrastrukture po kojoj prometuju druga vozila. Kao moguć modalitet povezivanja Labina i Rapca te cijelog rudarskog područja LAG</w:t>
      </w:r>
      <w:r w:rsidR="00C250D5">
        <w:rPr>
          <w:rFonts w:ascii="Times New Roman" w:eastAsia="Times New Roman" w:hAnsi="Times New Roman" w:cs="Times New Roman"/>
          <w:sz w:val="24"/>
          <w:szCs w:val="24"/>
        </w:rPr>
        <w:t>UR</w:t>
      </w:r>
      <w:r w:rsidRPr="00FA5A0D">
        <w:rPr>
          <w:rFonts w:ascii="Times New Roman" w:eastAsia="Times New Roman" w:hAnsi="Times New Roman" w:cs="Times New Roman"/>
          <w:sz w:val="24"/>
          <w:szCs w:val="24"/>
        </w:rPr>
        <w:t xml:space="preserve">-a spominje se žičara. </w:t>
      </w:r>
    </w:p>
    <w:p w:rsidR="00FA5A0D" w:rsidRPr="00FA5A0D" w:rsidRDefault="00FA5A0D" w:rsidP="00FA5A0D">
      <w:pPr>
        <w:spacing w:after="0" w:line="240" w:lineRule="auto"/>
        <w:jc w:val="both"/>
        <w:rPr>
          <w:rFonts w:ascii="Times New Roman" w:eastAsia="Times New Roman" w:hAnsi="Times New Roman" w:cs="Times New Roman"/>
          <w:sz w:val="24"/>
          <w:szCs w:val="24"/>
        </w:rPr>
      </w:pPr>
    </w:p>
    <w:p w:rsidR="00FA5A0D" w:rsidRPr="00FA5A0D" w:rsidRDefault="00FA5A0D" w:rsidP="00FA5A0D">
      <w:pPr>
        <w:spacing w:after="0" w:line="240" w:lineRule="auto"/>
        <w:jc w:val="both"/>
        <w:rPr>
          <w:rFonts w:ascii="Times New Roman" w:eastAsia="Times New Roman" w:hAnsi="Times New Roman" w:cs="Times New Roman"/>
          <w:b/>
          <w:sz w:val="24"/>
          <w:szCs w:val="24"/>
        </w:rPr>
      </w:pPr>
      <w:r w:rsidRPr="00FA5A0D">
        <w:rPr>
          <w:rFonts w:ascii="Times New Roman" w:eastAsia="Times New Roman" w:hAnsi="Times New Roman" w:cs="Times New Roman"/>
          <w:b/>
          <w:sz w:val="24"/>
          <w:szCs w:val="24"/>
        </w:rPr>
        <w:t>3.2 - Stanje voda na području LAG</w:t>
      </w:r>
      <w:r w:rsidR="00C250D5">
        <w:rPr>
          <w:rFonts w:ascii="Times New Roman" w:eastAsia="Times New Roman" w:hAnsi="Times New Roman" w:cs="Times New Roman"/>
          <w:b/>
          <w:sz w:val="24"/>
          <w:szCs w:val="24"/>
        </w:rPr>
        <w:t>UR</w:t>
      </w:r>
      <w:r w:rsidRPr="00FA5A0D">
        <w:rPr>
          <w:rFonts w:ascii="Times New Roman" w:eastAsia="Times New Roman" w:hAnsi="Times New Roman" w:cs="Times New Roman"/>
          <w:b/>
          <w:sz w:val="24"/>
          <w:szCs w:val="24"/>
        </w:rPr>
        <w:t>-a</w:t>
      </w:r>
    </w:p>
    <w:p w:rsidR="00FA5A0D" w:rsidRPr="00FA5A0D" w:rsidRDefault="00FA5A0D" w:rsidP="00FA5A0D">
      <w:pPr>
        <w:spacing w:after="0" w:line="240" w:lineRule="auto"/>
        <w:jc w:val="both"/>
        <w:rPr>
          <w:rFonts w:ascii="Times New Roman" w:eastAsia="Times New Roman" w:hAnsi="Times New Roman" w:cs="Times New Roman"/>
          <w:b/>
          <w:sz w:val="24"/>
          <w:szCs w:val="24"/>
        </w:rPr>
      </w:pPr>
    </w:p>
    <w:p w:rsidR="00FA5A0D" w:rsidRPr="00FA5A0D" w:rsidRDefault="00FA5A0D" w:rsidP="00FA5A0D">
      <w:pPr>
        <w:spacing w:after="0" w:line="240" w:lineRule="auto"/>
        <w:jc w:val="both"/>
        <w:rPr>
          <w:rFonts w:ascii="Times New Roman" w:eastAsia="Times New Roman" w:hAnsi="Times New Roman" w:cs="Times New Roman"/>
          <w:i/>
          <w:sz w:val="24"/>
          <w:szCs w:val="24"/>
        </w:rPr>
      </w:pPr>
      <w:r w:rsidRPr="00FA5A0D">
        <w:rPr>
          <w:rFonts w:ascii="Times New Roman" w:eastAsia="Times New Roman" w:hAnsi="Times New Roman" w:cs="Times New Roman"/>
          <w:sz w:val="24"/>
          <w:szCs w:val="24"/>
        </w:rPr>
        <w:t>Postojeći izvori vode koji opskrbljuju područje Grada Labina su ukupnog kapaciteta od 271 l/s (Fonte Gaja i Kokoti (180 l/s), Kožljak (7 l/s), Plomin (4 l/s) i Mutvica (80 l/s)) te zadovoljavaju sadašnje potrebe za vodom. Na području Labinšćine postoje i jamske vode, koje predstavljaju značajan izvor budućih pitkih voda akumuliranih u potopljenim jamama bivših labinskih rudnika. Provedena istraživanja utvrdila su količine od 11,5 milijuna prostornih metara vode. U dolini rijeke Raše su još i izvori Sv. Antun, Balabani i Šumber. Područjem LAG-a upravlja isporučitelj vodne usluge Vodovod Labin, a na njemu je ukupno izgrađeno 456.300 km vodoopskrbni cijevi od kojih se 181.250 km (40%) odnosi na magistralne cjevovode, a 275.050 km (60%) na distribucijske cjevovode. Što se tiče materijala cijevi najveći dio otpada na PVC (37%) i nodularni lijev (20%). Najmanje je zastupljen čelik sa 2% (11 km). Na području obuhvata prisutno je 17 crpnih stanica gdje je najveća crpna stanica Fonte Gaja koja  distribuira vodu u sustav vodoopskrbe koju prikuplja sa izvora Fonte Gaja, Kokoti i Raša. Također na području obuhvata prisutno je 10 vodosprema: Katun, Plomin, Breg, Raša, Vidikovac 350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Podpićan 150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Draga 470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Rabac 3.000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Presika 500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xml:space="preserve"> i Koromačno 250 m</w:t>
      </w:r>
      <w:r w:rsidRPr="00FA5A0D">
        <w:rPr>
          <w:rFonts w:ascii="Times New Roman" w:eastAsia="Times New Roman" w:hAnsi="Times New Roman" w:cs="Times New Roman"/>
          <w:sz w:val="24"/>
          <w:szCs w:val="24"/>
          <w:vertAlign w:val="superscript"/>
        </w:rPr>
        <w:t>3</w:t>
      </w:r>
      <w:r w:rsidRPr="00FA5A0D">
        <w:rPr>
          <w:rFonts w:ascii="Times New Roman" w:eastAsia="Times New Roman" w:hAnsi="Times New Roman" w:cs="Times New Roman"/>
          <w:sz w:val="24"/>
          <w:szCs w:val="24"/>
        </w:rPr>
        <w:t xml:space="preserve">. </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 xml:space="preserve">Izvorišta Vodovoda Labin pripadaju slivovima dviju rijeka – Raše i Boljunčice. Vodovod Labin koristi izvore na lijevoj obali Raše kojima je zona prihranjivanja neposredno krško zalede. Izvorima sliva Boljunčice je zona prihranjivanja neposredno zaleđe i područje masiva Učke. </w:t>
      </w:r>
      <w:r w:rsidRPr="00FA5A0D">
        <w:rPr>
          <w:rFonts w:ascii="Times New Roman" w:eastAsia="Times New Roman" w:hAnsi="Times New Roman" w:cs="Times New Roman"/>
          <w:sz w:val="24"/>
          <w:szCs w:val="24"/>
        </w:rPr>
        <w:lastRenderedPageBreak/>
        <w:t xml:space="preserve">Izvore na lijevoj obali rijeke Raše čine Kokoti i Fonte Gaja koji su stalno uključeni u vodoopskrbu i dio su vodoopskrbnog sustava. Izvor Mutvica ima mogućnost priključka i po potrebi se uključuje u vodoopskrbni sustav. Slivu Boljunčice pripadaju izvori Kožljak i Plomin, koji su osobiti po svojstvenim fizikalno kemijskim osobinama, maloj izdašnosti i vrlo dobroj kvaliteti vode. </w:t>
      </w:r>
    </w:p>
    <w:p w:rsidR="00FA5A0D" w:rsidRPr="00FA5A0D" w:rsidRDefault="00FA5A0D" w:rsidP="00FA5A0D">
      <w:pPr>
        <w:spacing w:after="0" w:line="240" w:lineRule="auto"/>
        <w:jc w:val="both"/>
        <w:rPr>
          <w:rFonts w:ascii="Times New Roman" w:eastAsia="Times New Roman" w:hAnsi="Times New Roman" w:cs="Times New Roman"/>
          <w:b/>
          <w:sz w:val="24"/>
          <w:szCs w:val="24"/>
        </w:rPr>
      </w:pPr>
    </w:p>
    <w:p w:rsidR="00FA5A0D" w:rsidRPr="00FA5A0D" w:rsidRDefault="00FA5A0D" w:rsidP="00FA5A0D">
      <w:pPr>
        <w:spacing w:after="0" w:line="240" w:lineRule="auto"/>
        <w:jc w:val="both"/>
        <w:rPr>
          <w:rFonts w:ascii="Times New Roman" w:eastAsia="Times New Roman" w:hAnsi="Times New Roman" w:cs="Times New Roman"/>
          <w:b/>
          <w:sz w:val="24"/>
          <w:szCs w:val="24"/>
        </w:rPr>
      </w:pPr>
      <w:r w:rsidRPr="00FA5A0D">
        <w:rPr>
          <w:rFonts w:ascii="Times New Roman" w:eastAsia="Times New Roman" w:hAnsi="Times New Roman" w:cs="Times New Roman"/>
          <w:b/>
          <w:sz w:val="24"/>
          <w:szCs w:val="24"/>
        </w:rPr>
        <w:t>3.3 - Sustav odvodnje</w:t>
      </w:r>
    </w:p>
    <w:p w:rsidR="00FA5A0D" w:rsidRPr="00FA5A0D" w:rsidRDefault="00FA5A0D" w:rsidP="00FA5A0D">
      <w:pPr>
        <w:spacing w:after="0" w:line="240" w:lineRule="auto"/>
        <w:jc w:val="both"/>
        <w:rPr>
          <w:rFonts w:ascii="Times New Roman" w:eastAsia="Times New Roman" w:hAnsi="Times New Roman" w:cs="Times New Roman"/>
          <w:sz w:val="24"/>
          <w:szCs w:val="24"/>
        </w:rPr>
      </w:pP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Uređaj za pročišćavanje otpadnih voda izgrađen je 1979. g. prema projektu talijanske tvrtke „Clover“. 1996. g. uređaj je rekonstruiran dogradnjom građevina sa opremom za mehanički predtretman otpadne vode, prihvat otpada i sabirnih jama te kišnog bazena i polja za sušenje odbačenog viška mulja. 1999. g. ugrađen je sustav za strojnu dehidraciju mulja, a 2003. g. izvedena je zamjena aeracijskog sustava u okviru koje je ugrađena nova strojarska i mjernoregulacijska oprema za upuhivanje zraka u aeracijske bazene. Pročišćena otpadna voda istječe iz uređaja ispusnim cjevovodom do potoka Krapan, a konačni recipijent je rijeka Raša. Na temelju postignutih rezultata uređaja za biološko pročišćavanje otpadnih voda grada Labina zaključak je da uređaj radi sa visokim stupnjem pročišćavanja od  90-99%.</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Sustav javne odvodnje naselja Rabac obuhvaća područje građevina turističke namjene i stambenih zgrada od autokampa Rabac na zapadu do hotelskog naselja Girandela na istoku. Projektiran je i građen u skladu sa usvojenom koncepcijom kao razdjelni sustav, koji prikuplja sanitarne otpadne vode i odvodi ih prema dvjema taložnicama koje su smještene na rtu Sv. Andrije, dok se oborinske vode izravno upuštaju u zemljište ili otječu u more. Gradnja kanalizacijskog sustava bila je postupna i pratila je izgradnju naselja tako da je priključenost stanovnika na sustav javne odvodnje više od 95%.</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Postojeći sustav javne odvodnje naselja Raša izgrađen je kada i naselje Raša. Zbog starosti i neadekvatnog održavanja sustav ne funkcionira tridesetak godina. Crpna stanica na dnu Raše i uređaj za pročišćavanje više i ne postoje a cjevovod je u veoma lošem stanju. U cilju cjelovite zaštite područja Labina i Raše od onečišćenja, kao i usvojenom prostorno-planskom dokumentacijom pokrenute su aktivnosti za izgradnju sustava sanitarne kanalizacije naselja Raša. Pod time se podrazumijeva izrada projekata te nakon toga gradnja sustava kanalizacijskih kolektora za fekalnu odvodnju kao i uređaja za pročišćavanje otpadnih voda. Pri kraju je izrada Glavnog projekta „Kanalizacija i uređaj za pročišćavanje otpadnih voda naselja Raša-I faza“.</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Sustav javne odvodnje je priključen na uređaj za pročišćavanje otpadnih voda naselja Koromačno i tvornice „Holcim“. Uređaj je u vlasništvu tvornice „Holcim“. U naselju Ravni izgrađena je kanalizacija samo za apartmansko naselje. Kanalizacija je u veoma lošem stanju. Potrebno je rekonstruirati cjevovod, očistiti taložnicu i sanirati podmorski ispust. Sustav odvodnje je u nadležnosti Općine Raša. Za cjelovito rješenje potrebno je izraditi projektnu dokumentaciju za sustav odvodnje za čitavo naselje Ravni. U naselju Sveta Marina izvedena je kanalizacija u autokampu i dijelu naselja. Završava taložnicom i podmorskim ispustom. Za cjelovito rješenje potrebno je izraditi projektnu dokumentaciju za sustav odvodnje za čitavog naselje Marina. U jednom djelu Općine Raša (Topid, Sv. Bortul) IVS planira izgraditi male uređaje za pročišćavanje sanitarnih otpadnih voda za mala naselja.</w:t>
      </w: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 xml:space="preserve">Na području Općine Kršan je izgrađen sustav odvodnje sanitarnih otpadnih voda naselja Podpićan i naselja Plomin Luke. Kanalizacijski sustav naselja Podpićan sastoji se od izgrađenih gravitacijskih kolektora i prikuplja otpadne vode stanovništva, javnih ustanova( osnovne škole, vrtića, dom zdravlja i dr.) i tvornice cijevi. Prikupljena otpadna voda dovodi se na lokaciju središnjeg uređaja. Uređaj sa biološkom obradom vode sa aktivnim muljem je rekonstruiran i pušten u probni rad. Odvodnja naselja Luke Plomin riješena je razdjelnim kanalizacijskim sustavom, tj. oborinske otpadne vode odvojene su od fekalno potrošnih voda, te se ispuštaju u </w:t>
      </w:r>
      <w:r w:rsidRPr="00FA5A0D">
        <w:rPr>
          <w:rFonts w:ascii="Times New Roman" w:eastAsia="Times New Roman" w:hAnsi="Times New Roman" w:cs="Times New Roman"/>
          <w:sz w:val="24"/>
          <w:szCs w:val="24"/>
        </w:rPr>
        <w:lastRenderedPageBreak/>
        <w:t>plominski zaljev putem uređaja za pročišćavanje. Uređaj za pročišćavanje ne funkcionira dobro zbog visokog razrjeđenja fekalnih voda podzemnim čistom vodom koje količinama premašuju fekalne vode. Zbog lošeg stanja ovaj sustav odvodnje nije preuzet od strane isporučitelja vodne usluge Vodovod Labin, nego samo postoji ugovor o održavanju sustava sa Općinom Kršan. U naselju Pićan izgrađen je sustav odvodnje sanitarno otpadnih voda koji je spojen na uređaj za pročišćavanje otpadnih voda. Uređaj Bio Cleaner BC 250 je biološki uređaj s aktivnim muljem smješten u betonskim bazenima  koji pokazuje dobre izlazne parametre. Do sada je u I i II fazi gradnje izgrađeno 890 m glavnog kanalizacijskog kolektora ϕ 300 mm i 295 m priključaka. Izgrađeno je također i 54 revizionih okana. Pri kraju su radovi na izradi kanalizacije unutar starogradske jezgre Pićna odnosno čeka se tehnički pregled.</w:t>
      </w:r>
    </w:p>
    <w:p w:rsidR="00FA5A0D" w:rsidRPr="00FA5A0D" w:rsidRDefault="00FA5A0D" w:rsidP="00FA5A0D">
      <w:pPr>
        <w:spacing w:after="0" w:line="240" w:lineRule="auto"/>
        <w:jc w:val="both"/>
        <w:rPr>
          <w:rFonts w:ascii="Times New Roman" w:eastAsia="Times New Roman" w:hAnsi="Times New Roman" w:cs="Times New Roman"/>
          <w:sz w:val="24"/>
          <w:szCs w:val="24"/>
        </w:rPr>
      </w:pPr>
    </w:p>
    <w:p w:rsidR="00FA5A0D" w:rsidRPr="00FA5A0D" w:rsidRDefault="00FA5A0D" w:rsidP="00FA5A0D">
      <w:pPr>
        <w:spacing w:after="0" w:line="240" w:lineRule="auto"/>
        <w:jc w:val="both"/>
        <w:rPr>
          <w:rFonts w:ascii="Times New Roman" w:eastAsia="Times New Roman" w:hAnsi="Times New Roman" w:cs="Times New Roman"/>
          <w:b/>
          <w:sz w:val="24"/>
          <w:szCs w:val="24"/>
        </w:rPr>
      </w:pPr>
      <w:r w:rsidRPr="00FA5A0D">
        <w:rPr>
          <w:rFonts w:ascii="Times New Roman" w:eastAsia="Times New Roman" w:hAnsi="Times New Roman" w:cs="Times New Roman"/>
          <w:b/>
          <w:sz w:val="24"/>
          <w:szCs w:val="24"/>
        </w:rPr>
        <w:t>3.4 - Gospodarenje otpadom</w:t>
      </w:r>
    </w:p>
    <w:p w:rsidR="00FA5A0D" w:rsidRPr="00FA5A0D" w:rsidRDefault="00FA5A0D" w:rsidP="00FA5A0D">
      <w:pPr>
        <w:spacing w:after="0" w:line="240" w:lineRule="auto"/>
        <w:jc w:val="both"/>
        <w:rPr>
          <w:rFonts w:ascii="Times New Roman" w:eastAsia="Times New Roman" w:hAnsi="Times New Roman" w:cs="Times New Roman"/>
          <w:b/>
          <w:sz w:val="24"/>
          <w:szCs w:val="24"/>
        </w:rPr>
      </w:pP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Otpad namijenjen odlaganju zbrinjava se na odlagalištu komunalnog otpada „Cere“. Lokacija odlagališta nalazi se unutar administrativnih granica Općine Sveta Nedelja. Provodi se sanacija odlagališta od početka 2009. g. koja je predviđena kao dio cjelovitog sustava gospodarenja otpadom na području Grada Labina i općina Kršan, Sveta Nedelja, Pićan i Raša. Uspostavom novog sustava gospodarenja otpadom postojeće odlagalište na lokaciji Cere mora se zatvoriti prema Planu zatvaranja odlagališta, uz potrebno provođenje nadzora nad odlagalištem što je propisano Studijom o utjecaju na okoliš sanacije i rekonstrukcije odlagališta komunalnog otpada „Cere“ (IRI Sisak, 2004. G.), a zbrinjavanje otpada obavljat će se u sklopu ŽCGO Kaštijun. U tu svrhu, 2014.g. izgrađena je pretovarna stanica na odlagalištu. Odlagalište otpada mora biti sanirano i zatvoreno najkasnije jednu godinu od puštanja u rad ŽCGO Kaštijun.</w:t>
      </w:r>
    </w:p>
    <w:p w:rsidR="00FA5A0D" w:rsidRPr="00FA5A0D" w:rsidRDefault="00FA5A0D" w:rsidP="00FA5A0D">
      <w:pPr>
        <w:spacing w:after="0" w:line="240" w:lineRule="auto"/>
        <w:jc w:val="both"/>
        <w:rPr>
          <w:rFonts w:ascii="Times New Roman" w:eastAsia="Times New Roman" w:hAnsi="Times New Roman" w:cs="Times New Roman"/>
          <w:i/>
          <w:iCs/>
          <w:color w:val="44546A"/>
          <w:sz w:val="24"/>
          <w:szCs w:val="24"/>
        </w:rPr>
      </w:pPr>
    </w:p>
    <w:p w:rsidR="00FA5A0D" w:rsidRPr="00FA5A0D" w:rsidRDefault="00FA5A0D" w:rsidP="00FA5A0D">
      <w:pPr>
        <w:spacing w:after="0" w:line="240" w:lineRule="auto"/>
        <w:jc w:val="center"/>
        <w:rPr>
          <w:rFonts w:ascii="Times New Roman" w:eastAsia="Times New Roman" w:hAnsi="Times New Roman" w:cs="Times New Roman"/>
          <w:b/>
          <w:iCs/>
          <w:sz w:val="20"/>
          <w:szCs w:val="20"/>
        </w:rPr>
      </w:pPr>
      <w:r w:rsidRPr="00FA5A0D">
        <w:rPr>
          <w:rFonts w:ascii="Times New Roman" w:eastAsia="Times New Roman" w:hAnsi="Times New Roman" w:cs="Times New Roman"/>
          <w:b/>
          <w:iCs/>
          <w:color w:val="44546A"/>
          <w:sz w:val="20"/>
          <w:szCs w:val="20"/>
        </w:rPr>
        <w:t>Tablica 2 - Količine miješanog i komunalnog otpada koji je odložen na odlagalištu Cere</w:t>
      </w:r>
    </w:p>
    <w:tbl>
      <w:tblPr>
        <w:tblW w:w="9037" w:type="dxa"/>
        <w:tblInd w:w="93" w:type="dxa"/>
        <w:shd w:val="clear" w:color="auto" w:fill="DBE5F1"/>
        <w:tblLook w:val="04A0" w:firstRow="1" w:lastRow="0" w:firstColumn="1" w:lastColumn="0" w:noHBand="0" w:noVBand="1"/>
      </w:tblPr>
      <w:tblGrid>
        <w:gridCol w:w="1696"/>
        <w:gridCol w:w="1088"/>
        <w:gridCol w:w="1200"/>
        <w:gridCol w:w="1324"/>
        <w:gridCol w:w="1200"/>
        <w:gridCol w:w="1312"/>
        <w:gridCol w:w="1217"/>
      </w:tblGrid>
      <w:tr w:rsidR="00FA5A0D" w:rsidRPr="00FA5A0D" w:rsidTr="00720E16">
        <w:trPr>
          <w:trHeight w:val="318"/>
        </w:trPr>
        <w:tc>
          <w:tcPr>
            <w:tcW w:w="1540" w:type="dxa"/>
            <w:tcBorders>
              <w:top w:val="single" w:sz="8" w:space="0" w:color="auto"/>
              <w:left w:val="single" w:sz="8" w:space="0" w:color="auto"/>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KOMUNALNI OTPAD</w:t>
            </w:r>
          </w:p>
        </w:tc>
        <w:tc>
          <w:tcPr>
            <w:tcW w:w="1169"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Grad      Labin</w:t>
            </w:r>
          </w:p>
        </w:tc>
        <w:tc>
          <w:tcPr>
            <w:tcW w:w="1275"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Općina Kršan</w:t>
            </w:r>
          </w:p>
        </w:tc>
        <w:tc>
          <w:tcPr>
            <w:tcW w:w="1418"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Općina Sveta Nedelja</w:t>
            </w:r>
          </w:p>
        </w:tc>
        <w:tc>
          <w:tcPr>
            <w:tcW w:w="1276"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Općina    Raša</w:t>
            </w:r>
          </w:p>
        </w:tc>
        <w:tc>
          <w:tcPr>
            <w:tcW w:w="1417"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Općina Pićan</w:t>
            </w:r>
          </w:p>
        </w:tc>
        <w:tc>
          <w:tcPr>
            <w:tcW w:w="942" w:type="dxa"/>
            <w:tcBorders>
              <w:top w:val="single" w:sz="8" w:space="0" w:color="auto"/>
              <w:left w:val="nil"/>
              <w:bottom w:val="single" w:sz="8" w:space="0" w:color="auto"/>
              <w:right w:val="single" w:sz="8" w:space="0" w:color="auto"/>
            </w:tcBorders>
            <w:shd w:val="clear" w:color="auto" w:fill="9CC2E5"/>
            <w:vAlign w:val="center"/>
          </w:tcPr>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UKUPNO</w:t>
            </w:r>
          </w:p>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(tona)</w:t>
            </w:r>
          </w:p>
        </w:tc>
      </w:tr>
      <w:tr w:rsidR="00FA5A0D" w:rsidRPr="00FA5A0D" w:rsidTr="00720E16">
        <w:trPr>
          <w:trHeight w:val="184"/>
        </w:trPr>
        <w:tc>
          <w:tcPr>
            <w:tcW w:w="1540" w:type="dxa"/>
            <w:tcBorders>
              <w:top w:val="single" w:sz="8" w:space="0" w:color="auto"/>
              <w:left w:val="single" w:sz="8" w:space="0" w:color="auto"/>
              <w:bottom w:val="single" w:sz="8" w:space="0" w:color="auto"/>
              <w:right w:val="single" w:sz="8" w:space="0" w:color="auto"/>
            </w:tcBorders>
            <w:shd w:val="clear" w:color="auto" w:fill="DEEAF6"/>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2010. godina</w:t>
            </w:r>
          </w:p>
        </w:tc>
        <w:tc>
          <w:tcPr>
            <w:tcW w:w="1169"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5933</w:t>
            </w:r>
          </w:p>
        </w:tc>
        <w:tc>
          <w:tcPr>
            <w:tcW w:w="1275"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1512</w:t>
            </w:r>
          </w:p>
        </w:tc>
        <w:tc>
          <w:tcPr>
            <w:tcW w:w="1418"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1396</w:t>
            </w:r>
          </w:p>
        </w:tc>
        <w:tc>
          <w:tcPr>
            <w:tcW w:w="1276"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2210</w:t>
            </w:r>
          </w:p>
        </w:tc>
        <w:tc>
          <w:tcPr>
            <w:tcW w:w="1417"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582</w:t>
            </w:r>
          </w:p>
        </w:tc>
        <w:tc>
          <w:tcPr>
            <w:tcW w:w="942" w:type="dxa"/>
            <w:tcBorders>
              <w:top w:val="single" w:sz="8" w:space="0" w:color="auto"/>
              <w:left w:val="nil"/>
              <w:bottom w:val="single" w:sz="8" w:space="0" w:color="auto"/>
              <w:right w:val="single" w:sz="8" w:space="0" w:color="auto"/>
            </w:tcBorders>
            <w:shd w:val="clear" w:color="auto" w:fill="FFFFFF"/>
            <w:vAlign w:val="center"/>
          </w:tcPr>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11633</w:t>
            </w:r>
          </w:p>
        </w:tc>
      </w:tr>
      <w:tr w:rsidR="00FA5A0D" w:rsidRPr="00FA5A0D" w:rsidTr="00720E16">
        <w:trPr>
          <w:trHeight w:val="419"/>
        </w:trPr>
        <w:tc>
          <w:tcPr>
            <w:tcW w:w="1540" w:type="dxa"/>
            <w:tcBorders>
              <w:top w:val="single" w:sz="8" w:space="0" w:color="auto"/>
              <w:left w:val="single" w:sz="8" w:space="0" w:color="auto"/>
              <w:bottom w:val="single" w:sz="8" w:space="0" w:color="auto"/>
              <w:right w:val="single" w:sz="8" w:space="0" w:color="auto"/>
            </w:tcBorders>
            <w:shd w:val="clear" w:color="auto" w:fill="DEEAF6"/>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2011. godina</w:t>
            </w:r>
          </w:p>
        </w:tc>
        <w:tc>
          <w:tcPr>
            <w:tcW w:w="1169"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5902</w:t>
            </w:r>
          </w:p>
        </w:tc>
        <w:tc>
          <w:tcPr>
            <w:tcW w:w="1275"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1504</w:t>
            </w:r>
          </w:p>
        </w:tc>
        <w:tc>
          <w:tcPr>
            <w:tcW w:w="1418"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1389</w:t>
            </w:r>
          </w:p>
        </w:tc>
        <w:tc>
          <w:tcPr>
            <w:tcW w:w="1276"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2199</w:t>
            </w:r>
          </w:p>
        </w:tc>
        <w:tc>
          <w:tcPr>
            <w:tcW w:w="1417"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579</w:t>
            </w:r>
          </w:p>
        </w:tc>
        <w:tc>
          <w:tcPr>
            <w:tcW w:w="942" w:type="dxa"/>
            <w:tcBorders>
              <w:top w:val="single" w:sz="8" w:space="0" w:color="auto"/>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11573</w:t>
            </w:r>
          </w:p>
        </w:tc>
      </w:tr>
      <w:tr w:rsidR="00FA5A0D" w:rsidRPr="00FA5A0D" w:rsidTr="00720E16">
        <w:trPr>
          <w:trHeight w:val="440"/>
        </w:trPr>
        <w:tc>
          <w:tcPr>
            <w:tcW w:w="1540" w:type="dxa"/>
            <w:tcBorders>
              <w:top w:val="single" w:sz="8" w:space="0" w:color="auto"/>
              <w:left w:val="single" w:sz="8" w:space="0" w:color="auto"/>
              <w:bottom w:val="single" w:sz="8" w:space="0" w:color="auto"/>
              <w:right w:val="single" w:sz="8" w:space="0" w:color="auto"/>
            </w:tcBorders>
            <w:shd w:val="clear" w:color="auto" w:fill="DEEAF6"/>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2012. godina</w:t>
            </w:r>
          </w:p>
        </w:tc>
        <w:tc>
          <w:tcPr>
            <w:tcW w:w="1169"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4642</w:t>
            </w:r>
          </w:p>
        </w:tc>
        <w:tc>
          <w:tcPr>
            <w:tcW w:w="1275"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1183</w:t>
            </w:r>
          </w:p>
        </w:tc>
        <w:tc>
          <w:tcPr>
            <w:tcW w:w="1418"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1092</w:t>
            </w:r>
          </w:p>
        </w:tc>
        <w:tc>
          <w:tcPr>
            <w:tcW w:w="1276"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1729</w:t>
            </w:r>
          </w:p>
        </w:tc>
        <w:tc>
          <w:tcPr>
            <w:tcW w:w="1417"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455</w:t>
            </w:r>
          </w:p>
        </w:tc>
        <w:tc>
          <w:tcPr>
            <w:tcW w:w="942" w:type="dxa"/>
            <w:tcBorders>
              <w:top w:val="single" w:sz="8" w:space="0" w:color="auto"/>
              <w:left w:val="nil"/>
              <w:bottom w:val="single" w:sz="8" w:space="0" w:color="000000"/>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9101</w:t>
            </w:r>
          </w:p>
        </w:tc>
      </w:tr>
      <w:tr w:rsidR="00FA5A0D" w:rsidRPr="00FA5A0D" w:rsidTr="00720E16">
        <w:trPr>
          <w:trHeight w:val="498"/>
        </w:trPr>
        <w:tc>
          <w:tcPr>
            <w:tcW w:w="1540" w:type="dxa"/>
            <w:tcBorders>
              <w:top w:val="single" w:sz="8" w:space="0" w:color="auto"/>
              <w:left w:val="single" w:sz="8" w:space="0" w:color="auto"/>
              <w:bottom w:val="single" w:sz="8" w:space="0" w:color="auto"/>
              <w:right w:val="single" w:sz="8" w:space="0" w:color="auto"/>
            </w:tcBorders>
            <w:shd w:val="clear" w:color="auto" w:fill="DEEAF6"/>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2013. godina</w:t>
            </w:r>
          </w:p>
        </w:tc>
        <w:tc>
          <w:tcPr>
            <w:tcW w:w="1169"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4507</w:t>
            </w:r>
          </w:p>
        </w:tc>
        <w:tc>
          <w:tcPr>
            <w:tcW w:w="1275"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1149</w:t>
            </w:r>
          </w:p>
        </w:tc>
        <w:tc>
          <w:tcPr>
            <w:tcW w:w="1418"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1060</w:t>
            </w:r>
          </w:p>
        </w:tc>
        <w:tc>
          <w:tcPr>
            <w:tcW w:w="1276"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1679</w:t>
            </w:r>
          </w:p>
        </w:tc>
        <w:tc>
          <w:tcPr>
            <w:tcW w:w="1417" w:type="dxa"/>
            <w:tcBorders>
              <w:top w:val="nil"/>
              <w:left w:val="nil"/>
              <w:bottom w:val="single" w:sz="8"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sz w:val="24"/>
                <w:szCs w:val="24"/>
                <w:lang w:eastAsia="sl-SI"/>
              </w:rPr>
            </w:pPr>
            <w:r w:rsidRPr="00FA5A0D">
              <w:rPr>
                <w:rFonts w:ascii="Times New Roman" w:eastAsia="Times New Roman" w:hAnsi="Times New Roman" w:cs="Times New Roman"/>
                <w:sz w:val="24"/>
                <w:szCs w:val="24"/>
                <w:lang w:eastAsia="sl-SI"/>
              </w:rPr>
              <w:t>442</w:t>
            </w:r>
          </w:p>
        </w:tc>
        <w:tc>
          <w:tcPr>
            <w:tcW w:w="942" w:type="dxa"/>
            <w:tcBorders>
              <w:top w:val="single" w:sz="8" w:space="0" w:color="000000"/>
              <w:left w:val="nil"/>
              <w:bottom w:val="single" w:sz="8" w:space="0" w:color="000000"/>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Cs/>
                <w:sz w:val="24"/>
                <w:szCs w:val="24"/>
                <w:lang w:eastAsia="sl-SI"/>
              </w:rPr>
            </w:pPr>
            <w:r w:rsidRPr="00FA5A0D">
              <w:rPr>
                <w:rFonts w:ascii="Times New Roman" w:eastAsia="Times New Roman" w:hAnsi="Times New Roman" w:cs="Times New Roman"/>
                <w:bCs/>
                <w:sz w:val="24"/>
                <w:szCs w:val="24"/>
                <w:lang w:eastAsia="sl-SI"/>
              </w:rPr>
              <w:t>8837</w:t>
            </w:r>
          </w:p>
        </w:tc>
      </w:tr>
      <w:tr w:rsidR="00FA5A0D" w:rsidRPr="00FA5A0D" w:rsidTr="00720E16">
        <w:trPr>
          <w:trHeight w:val="310"/>
        </w:trPr>
        <w:tc>
          <w:tcPr>
            <w:tcW w:w="1540" w:type="dxa"/>
            <w:tcBorders>
              <w:top w:val="single" w:sz="8" w:space="0" w:color="auto"/>
              <w:left w:val="single" w:sz="8" w:space="0" w:color="auto"/>
              <w:bottom w:val="single" w:sz="4" w:space="0" w:color="auto"/>
              <w:right w:val="single" w:sz="8" w:space="0" w:color="auto"/>
            </w:tcBorders>
            <w:shd w:val="clear" w:color="auto" w:fill="DEEAF6"/>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2014. godina</w:t>
            </w:r>
          </w:p>
        </w:tc>
        <w:tc>
          <w:tcPr>
            <w:tcW w:w="1169" w:type="dxa"/>
            <w:tcBorders>
              <w:top w:val="nil"/>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4322</w:t>
            </w:r>
          </w:p>
        </w:tc>
        <w:tc>
          <w:tcPr>
            <w:tcW w:w="1275" w:type="dxa"/>
            <w:tcBorders>
              <w:top w:val="nil"/>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1102</w:t>
            </w:r>
          </w:p>
        </w:tc>
        <w:tc>
          <w:tcPr>
            <w:tcW w:w="1418" w:type="dxa"/>
            <w:tcBorders>
              <w:top w:val="nil"/>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1017</w:t>
            </w:r>
          </w:p>
        </w:tc>
        <w:tc>
          <w:tcPr>
            <w:tcW w:w="1276" w:type="dxa"/>
            <w:tcBorders>
              <w:top w:val="nil"/>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1610</w:t>
            </w:r>
          </w:p>
        </w:tc>
        <w:tc>
          <w:tcPr>
            <w:tcW w:w="1417" w:type="dxa"/>
            <w:tcBorders>
              <w:top w:val="nil"/>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sz w:val="24"/>
                <w:szCs w:val="24"/>
                <w:lang w:eastAsia="sl-SI"/>
              </w:rPr>
            </w:pPr>
            <w:r w:rsidRPr="00FA5A0D">
              <w:rPr>
                <w:rFonts w:ascii="Times New Roman" w:eastAsia="Times New Roman" w:hAnsi="Times New Roman" w:cs="Times New Roman"/>
                <w:b/>
                <w:sz w:val="24"/>
                <w:szCs w:val="24"/>
                <w:lang w:eastAsia="sl-SI"/>
              </w:rPr>
              <w:t>424</w:t>
            </w:r>
          </w:p>
        </w:tc>
        <w:tc>
          <w:tcPr>
            <w:tcW w:w="942" w:type="dxa"/>
            <w:tcBorders>
              <w:top w:val="single" w:sz="8" w:space="0" w:color="000000"/>
              <w:left w:val="nil"/>
              <w:bottom w:val="single" w:sz="4" w:space="0" w:color="auto"/>
              <w:right w:val="single" w:sz="8" w:space="0" w:color="auto"/>
            </w:tcBorders>
            <w:shd w:val="clear" w:color="auto" w:fill="auto"/>
            <w:vAlign w:val="center"/>
          </w:tcPr>
          <w:p w:rsidR="00FA5A0D" w:rsidRPr="00FA5A0D" w:rsidRDefault="00FA5A0D" w:rsidP="00FA5A0D">
            <w:pPr>
              <w:spacing w:after="0" w:line="240" w:lineRule="auto"/>
              <w:jc w:val="both"/>
              <w:rPr>
                <w:rFonts w:ascii="Times New Roman" w:eastAsia="Times New Roman" w:hAnsi="Times New Roman" w:cs="Times New Roman"/>
                <w:b/>
                <w:bCs/>
                <w:sz w:val="24"/>
                <w:szCs w:val="24"/>
                <w:lang w:eastAsia="sl-SI"/>
              </w:rPr>
            </w:pPr>
            <w:r w:rsidRPr="00FA5A0D">
              <w:rPr>
                <w:rFonts w:ascii="Times New Roman" w:eastAsia="Times New Roman" w:hAnsi="Times New Roman" w:cs="Times New Roman"/>
                <w:b/>
                <w:bCs/>
                <w:sz w:val="24"/>
                <w:szCs w:val="24"/>
                <w:lang w:eastAsia="sl-SI"/>
              </w:rPr>
              <w:t>8475</w:t>
            </w:r>
          </w:p>
        </w:tc>
      </w:tr>
    </w:tbl>
    <w:p w:rsidR="00FA5A0D" w:rsidRPr="00FA5A0D" w:rsidRDefault="00FA5A0D" w:rsidP="00FA5A0D">
      <w:pPr>
        <w:spacing w:after="0" w:line="240" w:lineRule="auto"/>
        <w:jc w:val="center"/>
        <w:rPr>
          <w:rFonts w:ascii="Times New Roman" w:eastAsia="Times New Roman" w:hAnsi="Times New Roman" w:cs="Times New Roman"/>
          <w:i/>
          <w:noProof/>
          <w:sz w:val="20"/>
          <w:szCs w:val="20"/>
        </w:rPr>
      </w:pPr>
      <w:r w:rsidRPr="00FA5A0D">
        <w:rPr>
          <w:rFonts w:ascii="Times New Roman" w:eastAsia="Times New Roman" w:hAnsi="Times New Roman" w:cs="Times New Roman"/>
          <w:i/>
          <w:noProof/>
          <w:sz w:val="20"/>
          <w:szCs w:val="20"/>
        </w:rPr>
        <w:t>Izvor: Komunalno poduzeće 1. MAJ d.o</w:t>
      </w:r>
      <w:r w:rsidR="00C250D5">
        <w:rPr>
          <w:rFonts w:ascii="Times New Roman" w:eastAsia="Times New Roman" w:hAnsi="Times New Roman" w:cs="Times New Roman"/>
          <w:i/>
          <w:noProof/>
          <w:sz w:val="20"/>
          <w:szCs w:val="20"/>
        </w:rPr>
        <w:t>.o. Labin, preuzeto 21. lipnja</w:t>
      </w:r>
      <w:r w:rsidRPr="00FA5A0D">
        <w:rPr>
          <w:rFonts w:ascii="Times New Roman" w:eastAsia="Times New Roman" w:hAnsi="Times New Roman" w:cs="Times New Roman"/>
          <w:i/>
          <w:noProof/>
          <w:sz w:val="20"/>
          <w:szCs w:val="20"/>
        </w:rPr>
        <w:t xml:space="preserve"> 2016.g.</w:t>
      </w:r>
    </w:p>
    <w:p w:rsidR="00FA5A0D" w:rsidRPr="00FA5A0D" w:rsidRDefault="00FA5A0D" w:rsidP="00FA5A0D">
      <w:pPr>
        <w:spacing w:after="0" w:line="240" w:lineRule="auto"/>
        <w:jc w:val="both"/>
        <w:rPr>
          <w:rFonts w:ascii="Times New Roman" w:eastAsia="Times New Roman" w:hAnsi="Times New Roman" w:cs="Times New Roman"/>
          <w:color w:val="7F7F7F"/>
          <w:sz w:val="24"/>
          <w:szCs w:val="24"/>
        </w:rPr>
      </w:pPr>
    </w:p>
    <w:p w:rsidR="00FA5A0D" w:rsidRP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 xml:space="preserve">Iz tablice je vidljiv trend smanjivanja količine proizvedenog i odloženog miješanog komunalnog otpada. Projekt uspostave selektivnog prikupljanja otpada na području grada Labina provodi se putem zelenih otoka, centra za reciklažu i organiziranog prikupljanja otpada „od vrata do vrata“. Sustavom selektivnog prikupljanja otpada obuhvaćeni su svi mjesni odbori grada Labina i prigradska naselja. Grad Labin ima usvojen program edukacije o potrebi i važnosti selektiranja otpada za djecu predškolskog i školskog uzrasta. </w:t>
      </w:r>
    </w:p>
    <w:p w:rsidR="00FA5A0D" w:rsidRPr="00FA5A0D" w:rsidRDefault="00FA5A0D" w:rsidP="00FA5A0D">
      <w:pPr>
        <w:spacing w:after="0" w:line="240" w:lineRule="auto"/>
        <w:jc w:val="both"/>
        <w:rPr>
          <w:rFonts w:ascii="Times New Roman" w:eastAsia="Times New Roman" w:hAnsi="Times New Roman" w:cs="Times New Roman"/>
          <w:sz w:val="24"/>
          <w:szCs w:val="24"/>
        </w:rPr>
      </w:pPr>
    </w:p>
    <w:p w:rsidR="00FA5A0D" w:rsidRDefault="00FA5A0D" w:rsidP="00FA5A0D">
      <w:pPr>
        <w:spacing w:after="0" w:line="240" w:lineRule="auto"/>
        <w:jc w:val="both"/>
        <w:rPr>
          <w:rFonts w:ascii="Times New Roman" w:eastAsia="Times New Roman" w:hAnsi="Times New Roman" w:cs="Times New Roman"/>
          <w:sz w:val="24"/>
          <w:szCs w:val="24"/>
        </w:rPr>
      </w:pPr>
      <w:r w:rsidRPr="00FA5A0D">
        <w:rPr>
          <w:rFonts w:ascii="Times New Roman" w:eastAsia="Times New Roman" w:hAnsi="Times New Roman" w:cs="Times New Roman"/>
          <w:sz w:val="24"/>
          <w:szCs w:val="24"/>
        </w:rPr>
        <w:t xml:space="preserve">Projekt sanacije i rekonstrukcije odlagališta komunalnog otpada Cere započet je 2004. g.. 1. faza sanacije i rekonstrukcije završena je krajem 2011. g.. U 2013. g. započela je 2. faza sanacije i rekonstrukcije odlagališta komunalnog otpada Cere izradom projektne dokumentacije za izgradnju reciklažnog dvorišta, sortirnice, kompostišta i pretovarne stanice na odlagalištu komunalnog otpada Cere. U siječnju 2015. g. ishodovana je uporabna dozvola za  pretovarnu </w:t>
      </w:r>
      <w:r w:rsidRPr="00FA5A0D">
        <w:rPr>
          <w:rFonts w:ascii="Times New Roman" w:eastAsia="Times New Roman" w:hAnsi="Times New Roman" w:cs="Times New Roman"/>
          <w:sz w:val="24"/>
          <w:szCs w:val="24"/>
        </w:rPr>
        <w:lastRenderedPageBreak/>
        <w:t>stanicu „Cere“. Ova pretovarna stanica jedna je od 6 planiranih na području Istre. Obuhvaćat će organizirano sakupljanje i zbrinjavanje otpada za cijelo područje Labinštine. Planskim dokumentima Republike Hrvatske i Istarske županije planirana je reorganizacija postojećeg sustava, prema kojem se sva postojeća odlagališta saniraju i reorganiziraju u reciklažna dvorišta i transfer stanice. Ključni objekt u planiranom sustavu je Županijski centar za gospodarenje otpadom (ŽCGO), koji je temeljem brojnih analiza definiran na lokaciji Kaštijun na području Grada Pule. Planirani kapacitet opreme za gospodarenje otpadom omogućit će provođenje mjera za uspostavu cjelovitog sustava gospodarenja otpadom na Labinštini.</w:t>
      </w:r>
    </w:p>
    <w:p w:rsidR="00ED4943" w:rsidRDefault="00ED4943" w:rsidP="00EE4BEA">
      <w:pPr>
        <w:jc w:val="both"/>
      </w:pPr>
    </w:p>
    <w:sectPr w:rsidR="00ED4943" w:rsidSect="00227BC6">
      <w:footerReference w:type="default" r:id="rId26"/>
      <w:type w:val="continuous"/>
      <w:pgSz w:w="11910" w:h="16840" w:code="9"/>
      <w:pgMar w:top="1338" w:right="1440" w:bottom="1480" w:left="1298" w:header="0" w:footer="128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458" w:rsidRDefault="00540458" w:rsidP="00033486">
      <w:pPr>
        <w:spacing w:after="0" w:line="240" w:lineRule="auto"/>
      </w:pPr>
      <w:r>
        <w:separator/>
      </w:r>
    </w:p>
  </w:endnote>
  <w:endnote w:type="continuationSeparator" w:id="0">
    <w:p w:rsidR="00540458" w:rsidRDefault="00540458" w:rsidP="00033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424818"/>
      <w:docPartObj>
        <w:docPartGallery w:val="Page Numbers (Bottom of Page)"/>
        <w:docPartUnique/>
      </w:docPartObj>
    </w:sdtPr>
    <w:sdtEndPr/>
    <w:sdtContent>
      <w:p w:rsidR="00033486" w:rsidRDefault="00033486">
        <w:pPr>
          <w:pStyle w:val="Podnoje"/>
          <w:jc w:val="right"/>
        </w:pPr>
        <w:r>
          <w:fldChar w:fldCharType="begin"/>
        </w:r>
        <w:r>
          <w:instrText>PAGE   \* MERGEFORMAT</w:instrText>
        </w:r>
        <w:r>
          <w:fldChar w:fldCharType="separate"/>
        </w:r>
        <w:r w:rsidR="00FC79BD">
          <w:rPr>
            <w:noProof/>
          </w:rPr>
          <w:t>2</w:t>
        </w:r>
        <w:r>
          <w:fldChar w:fldCharType="end"/>
        </w:r>
      </w:p>
    </w:sdtContent>
  </w:sdt>
  <w:p w:rsidR="00033486" w:rsidRDefault="0003348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458" w:rsidRDefault="00540458" w:rsidP="00033486">
      <w:pPr>
        <w:spacing w:after="0" w:line="240" w:lineRule="auto"/>
      </w:pPr>
      <w:r>
        <w:separator/>
      </w:r>
    </w:p>
  </w:footnote>
  <w:footnote w:type="continuationSeparator" w:id="0">
    <w:p w:rsidR="00540458" w:rsidRDefault="00540458" w:rsidP="00033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D8E"/>
    <w:multiLevelType w:val="multilevel"/>
    <w:tmpl w:val="F836F32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2FF1FD4"/>
    <w:multiLevelType w:val="hybridMultilevel"/>
    <w:tmpl w:val="20EA0BB8"/>
    <w:lvl w:ilvl="0" w:tplc="BE36B1F8">
      <w:start w:val="1"/>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049D392F"/>
    <w:multiLevelType w:val="hybridMultilevel"/>
    <w:tmpl w:val="220CAED6"/>
    <w:lvl w:ilvl="0" w:tplc="EFECF6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B25086"/>
    <w:multiLevelType w:val="hybridMultilevel"/>
    <w:tmpl w:val="ABA2D150"/>
    <w:lvl w:ilvl="0" w:tplc="666217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B66668A"/>
    <w:multiLevelType w:val="multilevel"/>
    <w:tmpl w:val="DEC25DC0"/>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0084151"/>
    <w:multiLevelType w:val="hybridMultilevel"/>
    <w:tmpl w:val="22F69E5E"/>
    <w:lvl w:ilvl="0" w:tplc="97E0198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8216C9D"/>
    <w:multiLevelType w:val="hybridMultilevel"/>
    <w:tmpl w:val="ABB4C9A8"/>
    <w:lvl w:ilvl="0" w:tplc="292846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9260D38"/>
    <w:multiLevelType w:val="hybridMultilevel"/>
    <w:tmpl w:val="ECB0BE7C"/>
    <w:lvl w:ilvl="0" w:tplc="4BA6A736">
      <w:start w:val="1"/>
      <w:numFmt w:val="decimal"/>
      <w:lvlText w:val="(%1)"/>
      <w:lvlJc w:val="left"/>
      <w:pPr>
        <w:ind w:left="72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BE557AF"/>
    <w:multiLevelType w:val="hybridMultilevel"/>
    <w:tmpl w:val="22F69E5E"/>
    <w:lvl w:ilvl="0" w:tplc="97E0198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2507C45"/>
    <w:multiLevelType w:val="hybridMultilevel"/>
    <w:tmpl w:val="ABA2D150"/>
    <w:lvl w:ilvl="0" w:tplc="666217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5FA2191"/>
    <w:multiLevelType w:val="hybridMultilevel"/>
    <w:tmpl w:val="50F40192"/>
    <w:lvl w:ilvl="0" w:tplc="B80E62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7104584"/>
    <w:multiLevelType w:val="hybridMultilevel"/>
    <w:tmpl w:val="E2F2133E"/>
    <w:lvl w:ilvl="0" w:tplc="F350ECD4">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9100955"/>
    <w:multiLevelType w:val="hybridMultilevel"/>
    <w:tmpl w:val="46988958"/>
    <w:lvl w:ilvl="0" w:tplc="111CB5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0AA78BA"/>
    <w:multiLevelType w:val="hybridMultilevel"/>
    <w:tmpl w:val="D79885C8"/>
    <w:lvl w:ilvl="0" w:tplc="AA540A1C">
      <w:start w:val="1"/>
      <w:numFmt w:val="bullet"/>
      <w:lvlText w:val="-"/>
      <w:lvlJc w:val="left"/>
      <w:pPr>
        <w:ind w:left="720" w:hanging="360"/>
      </w:pPr>
      <w:rPr>
        <w:rFonts w:ascii="Calibri" w:eastAsiaTheme="minorHAnsi" w:hAnsi="Calibri" w:cstheme="minorBid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5CD19F0"/>
    <w:multiLevelType w:val="hybridMultilevel"/>
    <w:tmpl w:val="F0322EFA"/>
    <w:lvl w:ilvl="0" w:tplc="041A000F">
      <w:start w:val="1"/>
      <w:numFmt w:val="decimal"/>
      <w:lvlText w:val="%1."/>
      <w:lvlJc w:val="left"/>
      <w:pPr>
        <w:ind w:left="720" w:hanging="360"/>
      </w:pPr>
      <w:rPr>
        <w:rFonts w:hint="default"/>
      </w:rPr>
    </w:lvl>
    <w:lvl w:ilvl="1" w:tplc="72C2042E">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EC22856"/>
    <w:multiLevelType w:val="hybridMultilevel"/>
    <w:tmpl w:val="883E59C6"/>
    <w:lvl w:ilvl="0" w:tplc="2B2A6BDC">
      <w:start w:val="1"/>
      <w:numFmt w:val="decimal"/>
      <w:lvlText w:val="(%1)"/>
      <w:lvlJc w:val="left"/>
      <w:pPr>
        <w:ind w:left="360" w:hanging="360"/>
      </w:pPr>
      <w:rPr>
        <w:rFonts w:hint="default"/>
        <w:color w:val="00000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3"/>
  </w:num>
  <w:num w:numId="3">
    <w:abstractNumId w:val="11"/>
  </w:num>
  <w:num w:numId="4">
    <w:abstractNumId w:val="7"/>
  </w:num>
  <w:num w:numId="5">
    <w:abstractNumId w:val="2"/>
  </w:num>
  <w:num w:numId="6">
    <w:abstractNumId w:val="5"/>
  </w:num>
  <w:num w:numId="7">
    <w:abstractNumId w:val="12"/>
  </w:num>
  <w:num w:numId="8">
    <w:abstractNumId w:val="9"/>
  </w:num>
  <w:num w:numId="9">
    <w:abstractNumId w:val="10"/>
  </w:num>
  <w:num w:numId="10">
    <w:abstractNumId w:val="6"/>
  </w:num>
  <w:num w:numId="11">
    <w:abstractNumId w:val="3"/>
  </w:num>
  <w:num w:numId="12">
    <w:abstractNumId w:val="8"/>
  </w:num>
  <w:num w:numId="13">
    <w:abstractNumId w:val="4"/>
  </w:num>
  <w:num w:numId="14">
    <w:abstractNumId w:val="1"/>
  </w:num>
  <w:num w:numId="15">
    <w:abstractNumId w:val="15"/>
  </w:num>
  <w:num w:numId="1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G Istočna Istra">
    <w15:presenceInfo w15:providerId="Windows Live" w15:userId="c6bb315b50b35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FF"/>
    <w:rsid w:val="00033486"/>
    <w:rsid w:val="000A39AA"/>
    <w:rsid w:val="000D214A"/>
    <w:rsid w:val="000F55C2"/>
    <w:rsid w:val="0019118F"/>
    <w:rsid w:val="00227BC6"/>
    <w:rsid w:val="002643FF"/>
    <w:rsid w:val="00286394"/>
    <w:rsid w:val="002B026B"/>
    <w:rsid w:val="00453ED7"/>
    <w:rsid w:val="004B7D1F"/>
    <w:rsid w:val="00540458"/>
    <w:rsid w:val="0065052D"/>
    <w:rsid w:val="006A1CE5"/>
    <w:rsid w:val="006B2CAC"/>
    <w:rsid w:val="006D1FCC"/>
    <w:rsid w:val="006E3188"/>
    <w:rsid w:val="006F24B6"/>
    <w:rsid w:val="00720E16"/>
    <w:rsid w:val="007848AE"/>
    <w:rsid w:val="008512E7"/>
    <w:rsid w:val="008F6546"/>
    <w:rsid w:val="009076FE"/>
    <w:rsid w:val="009C298B"/>
    <w:rsid w:val="009F018E"/>
    <w:rsid w:val="00B25071"/>
    <w:rsid w:val="00BE05C1"/>
    <w:rsid w:val="00C250D5"/>
    <w:rsid w:val="00C62926"/>
    <w:rsid w:val="00C847E0"/>
    <w:rsid w:val="00D75CD0"/>
    <w:rsid w:val="00ED4943"/>
    <w:rsid w:val="00EE4BEA"/>
    <w:rsid w:val="00EF33E0"/>
    <w:rsid w:val="00F03C46"/>
    <w:rsid w:val="00F166BC"/>
    <w:rsid w:val="00FA5A0D"/>
    <w:rsid w:val="00FC79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667FFA-FB7D-45E1-8E61-FDAE5054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B026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B026B"/>
    <w:rPr>
      <w:rFonts w:ascii="Segoe UI" w:hAnsi="Segoe UI" w:cs="Segoe UI"/>
      <w:sz w:val="18"/>
      <w:szCs w:val="18"/>
    </w:rPr>
  </w:style>
  <w:style w:type="character" w:styleId="Hiperveza">
    <w:name w:val="Hyperlink"/>
    <w:basedOn w:val="Zadanifontodlomka"/>
    <w:uiPriority w:val="99"/>
    <w:unhideWhenUsed/>
    <w:rsid w:val="00B25071"/>
    <w:rPr>
      <w:color w:val="0563C1" w:themeColor="hyperlink"/>
      <w:u w:val="single"/>
    </w:rPr>
  </w:style>
  <w:style w:type="table" w:styleId="Reetkatablice">
    <w:name w:val="Table Grid"/>
    <w:basedOn w:val="Obinatablica"/>
    <w:uiPriority w:val="59"/>
    <w:rsid w:val="00B25071"/>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FA5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FA5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FA5A0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0D214A"/>
    <w:pPr>
      <w:ind w:left="720"/>
      <w:contextualSpacing/>
    </w:pPr>
  </w:style>
  <w:style w:type="paragraph" w:styleId="Bezproreda">
    <w:name w:val="No Spacing"/>
    <w:uiPriority w:val="1"/>
    <w:qFormat/>
    <w:rsid w:val="00D75CD0"/>
    <w:pPr>
      <w:spacing w:after="0" w:line="240" w:lineRule="auto"/>
    </w:pPr>
  </w:style>
  <w:style w:type="paragraph" w:styleId="Zaglavlje">
    <w:name w:val="header"/>
    <w:basedOn w:val="Normal"/>
    <w:link w:val="ZaglavljeChar"/>
    <w:uiPriority w:val="99"/>
    <w:unhideWhenUsed/>
    <w:rsid w:val="000334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33486"/>
  </w:style>
  <w:style w:type="paragraph" w:styleId="Podnoje">
    <w:name w:val="footer"/>
    <w:basedOn w:val="Normal"/>
    <w:link w:val="PodnojeChar"/>
    <w:uiPriority w:val="99"/>
    <w:unhideWhenUsed/>
    <w:rsid w:val="000334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33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atura2000.dzzp.hr/reportpublish/reportproxy.aspx?paramSITECODE=HR2001215" TargetMode="External"/><Relationship Id="rId18" Type="http://schemas.openxmlformats.org/officeDocument/2006/relationships/hyperlink" Target="http://natura2000.dzzp.hr/reportpublish/reportproxy.aspx?paramSITECODE=HR200148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natura2000.dzzp.hr/reportpublish/reportproxy.aspx?paramSITECODE=HR3000463" TargetMode="External"/><Relationship Id="rId7" Type="http://schemas.openxmlformats.org/officeDocument/2006/relationships/endnotes" Target="endnotes.xml"/><Relationship Id="rId12" Type="http://schemas.openxmlformats.org/officeDocument/2006/relationships/hyperlink" Target="http://natura2000.dzzp.hr/reportpublish/reportproxy.aspx?paramSITECODE=HR2000601" TargetMode="External"/><Relationship Id="rId17" Type="http://schemas.openxmlformats.org/officeDocument/2006/relationships/hyperlink" Target="http://natura2000.dzzp.hr/reportpublish/reportproxy.aspx?paramSITECODE=HR2001434" TargetMode="External"/><Relationship Id="rId25" Type="http://schemas.openxmlformats.org/officeDocument/2006/relationships/hyperlink" Target="http://natura2000.dzzp.hr/reportpublish/reportproxy.aspx?paramSITECODE=HR2001239" TargetMode="External"/><Relationship Id="rId2" Type="http://schemas.openxmlformats.org/officeDocument/2006/relationships/numbering" Target="numbering.xml"/><Relationship Id="rId16" Type="http://schemas.openxmlformats.org/officeDocument/2006/relationships/hyperlink" Target="http://natura2000.dzzp.hr/reportpublish/reportproxy.aspx?paramSITECODE=HR2001365" TargetMode="External"/><Relationship Id="rId20" Type="http://schemas.openxmlformats.org/officeDocument/2006/relationships/hyperlink" Target="http://natura2000.dzzp.hr/reportpublish/reportproxy.aspx?paramSITECODE=HR300043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ura2000.dzzp.hr/reportpublish/reportproxy.aspx?paramSITECODE=HR1000018" TargetMode="External"/><Relationship Id="rId24" Type="http://schemas.openxmlformats.org/officeDocument/2006/relationships/hyperlink" Target="http://natura2000.dzzp.hr/reportpublish/reportproxy.aspx?paramSITECODE=HR2001133" TargetMode="External"/><Relationship Id="rId5" Type="http://schemas.openxmlformats.org/officeDocument/2006/relationships/webSettings" Target="webSettings.xml"/><Relationship Id="rId15" Type="http://schemas.openxmlformats.org/officeDocument/2006/relationships/hyperlink" Target="http://natura2000.dzzp.hr/reportpublish/reportproxy.aspx?paramSITECODE=HR2001349" TargetMode="External"/><Relationship Id="rId23" Type="http://schemas.openxmlformats.org/officeDocument/2006/relationships/hyperlink" Target="http://natura2000.dzzp.hr/reportpublish/reportproxy.aspx?paramSITECODE=HR3000471" TargetMode="Externa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natura2000.dzzp.hr/reportpublish/reportproxy.aspx?paramSITECODE=HR3000002" TargetMode="External"/><Relationship Id="rId4" Type="http://schemas.openxmlformats.org/officeDocument/2006/relationships/settings" Target="settings.xml"/><Relationship Id="rId9" Type="http://schemas.openxmlformats.org/officeDocument/2006/relationships/hyperlink" Target="http://www.labin.com" TargetMode="External"/><Relationship Id="rId14" Type="http://schemas.openxmlformats.org/officeDocument/2006/relationships/hyperlink" Target="http://natura2000.dzzp.hr/reportpublish/reportproxy.aspx?paramSITECODE=HR2001334" TargetMode="External"/><Relationship Id="rId22" Type="http://schemas.openxmlformats.org/officeDocument/2006/relationships/hyperlink" Target="http://natura2000.dzzp.hr/reportpublish/reportproxy.aspx?paramSITECODE=HR3000470" TargetMode="External"/><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CDC2-4ADF-4F5A-A4E1-E7322DC7E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2574</Words>
  <Characters>14672</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LAG Istočna Istra</cp:lastModifiedBy>
  <cp:revision>2</cp:revision>
  <dcterms:created xsi:type="dcterms:W3CDTF">2019-03-14T09:24:00Z</dcterms:created>
  <dcterms:modified xsi:type="dcterms:W3CDTF">2019-03-14T09:24:00Z</dcterms:modified>
</cp:coreProperties>
</file>